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6.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5F" w:rsidRPr="00DF427C" w:rsidRDefault="00F60B5F" w:rsidP="00497D35">
      <w:pPr>
        <w:jc w:val="center"/>
        <w:rPr>
          <w:rFonts w:ascii="Calibri" w:hAnsi="Calibri"/>
          <w:sz w:val="52"/>
          <w:szCs w:val="52"/>
        </w:rPr>
      </w:pPr>
      <w:bookmarkStart w:id="0" w:name="_GoBack"/>
      <w:bookmarkEnd w:id="0"/>
    </w:p>
    <w:p w:rsidR="00F60B5F" w:rsidRPr="00DF427C" w:rsidRDefault="00F60B5F" w:rsidP="00497D35">
      <w:pPr>
        <w:jc w:val="center"/>
        <w:rPr>
          <w:rFonts w:ascii="Calibri" w:hAnsi="Calibri"/>
          <w:sz w:val="52"/>
          <w:szCs w:val="52"/>
        </w:rPr>
      </w:pPr>
    </w:p>
    <w:p w:rsidR="00F60B5F" w:rsidRPr="00DF427C" w:rsidRDefault="00F60B5F" w:rsidP="00497D35">
      <w:pPr>
        <w:pBdr>
          <w:bottom w:val="single" w:sz="12" w:space="1" w:color="auto"/>
        </w:pBdr>
        <w:jc w:val="center"/>
        <w:rPr>
          <w:rFonts w:ascii="Calibri" w:hAnsi="Calibri"/>
          <w:b/>
          <w:sz w:val="52"/>
          <w:szCs w:val="52"/>
        </w:rPr>
      </w:pPr>
      <w:r w:rsidRPr="00DF427C">
        <w:rPr>
          <w:rFonts w:ascii="Calibri" w:hAnsi="Calibri"/>
          <w:b/>
          <w:sz w:val="52"/>
          <w:szCs w:val="52"/>
        </w:rPr>
        <w:t>201</w:t>
      </w:r>
      <w:r>
        <w:rPr>
          <w:rFonts w:ascii="Calibri" w:hAnsi="Calibri"/>
          <w:b/>
          <w:sz w:val="52"/>
          <w:szCs w:val="52"/>
        </w:rPr>
        <w:t>3</w:t>
      </w:r>
      <w:r>
        <w:rPr>
          <w:rFonts w:ascii="Calibri" w:hAnsi="Calibri"/>
          <w:b/>
          <w:sz w:val="52"/>
          <w:szCs w:val="52"/>
        </w:rPr>
        <w:noBreakHyphen/>
        <w:t>14</w:t>
      </w:r>
    </w:p>
    <w:p w:rsidR="00F60B5F" w:rsidRPr="00DF427C" w:rsidRDefault="00F60B5F" w:rsidP="00497D35">
      <w:pPr>
        <w:jc w:val="center"/>
        <w:rPr>
          <w:rFonts w:ascii="Calibri" w:hAnsi="Calibri"/>
          <w:b/>
          <w:sz w:val="52"/>
          <w:szCs w:val="52"/>
        </w:rPr>
      </w:pPr>
      <w:r w:rsidRPr="00DF427C">
        <w:rPr>
          <w:rFonts w:ascii="Calibri" w:hAnsi="Calibri"/>
          <w:b/>
          <w:sz w:val="52"/>
          <w:szCs w:val="52"/>
        </w:rPr>
        <w:t>Budget Update</w:t>
      </w:r>
    </w:p>
    <w:p w:rsidR="00F60B5F" w:rsidRPr="00DF427C" w:rsidRDefault="00F60B5F" w:rsidP="00497D35">
      <w:pPr>
        <w:jc w:val="center"/>
        <w:rPr>
          <w:rFonts w:ascii="Arial" w:hAnsi="Arial"/>
          <w:b/>
          <w:sz w:val="48"/>
        </w:rPr>
      </w:pPr>
    </w:p>
    <w:p w:rsidR="00F60B5F" w:rsidRPr="00DF427C" w:rsidRDefault="00F60B5F" w:rsidP="00497D35">
      <w:pPr>
        <w:jc w:val="center"/>
      </w:pPr>
      <w:r w:rsidRPr="00DF427C">
        <w:rPr>
          <w:sz w:val="20"/>
        </w:rPr>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94.7pt" o:ole="" fillcolor="window">
            <v:imagedata r:id="rId8" o:title=""/>
          </v:shape>
          <o:OLEObject Type="Embed" ProgID="MSDraw.1.01" ShapeID="_x0000_i1025" DrawAspect="Content" ObjectID="_1448258628" r:id="rId9">
            <o:FieldCodes>\* MERGEFORMAT</o:FieldCodes>
          </o:OLEObject>
        </w:object>
      </w:r>
    </w:p>
    <w:p w:rsidR="00F60B5F" w:rsidRPr="00DF427C" w:rsidRDefault="00F60B5F" w:rsidP="00497D35">
      <w:pPr>
        <w:rPr>
          <w:rFonts w:ascii="Calibri" w:hAnsi="Calibri"/>
        </w:rPr>
      </w:pPr>
    </w:p>
    <w:p w:rsidR="00F60B5F" w:rsidRPr="00DF427C" w:rsidRDefault="00F60B5F" w:rsidP="00497D35">
      <w:pPr>
        <w:rPr>
          <w:rFonts w:ascii="Calibri" w:hAnsi="Calibri"/>
        </w:rPr>
      </w:pPr>
    </w:p>
    <w:p w:rsidR="00F60B5F" w:rsidRPr="00DF427C" w:rsidRDefault="00F60B5F" w:rsidP="00497D35">
      <w:pPr>
        <w:rPr>
          <w:rFonts w:ascii="Calibri" w:hAnsi="Calibri"/>
        </w:rPr>
      </w:pPr>
    </w:p>
    <w:p w:rsidR="00F60B5F" w:rsidRPr="000D564C" w:rsidRDefault="00F60B5F" w:rsidP="00497D35">
      <w:pPr>
        <w:jc w:val="center"/>
        <w:rPr>
          <w:rFonts w:ascii="Calibri" w:hAnsi="Calibri"/>
          <w:sz w:val="28"/>
          <w:szCs w:val="28"/>
        </w:rPr>
      </w:pPr>
      <w:r>
        <w:rPr>
          <w:rFonts w:ascii="Calibri" w:hAnsi="Calibri"/>
          <w:sz w:val="28"/>
          <w:szCs w:val="28"/>
        </w:rPr>
        <w:t>Presented by</w:t>
      </w:r>
    </w:p>
    <w:p w:rsidR="00F60B5F" w:rsidRPr="000D564C" w:rsidRDefault="00F60B5F" w:rsidP="00497D35">
      <w:pPr>
        <w:jc w:val="center"/>
        <w:rPr>
          <w:rFonts w:ascii="Calibri" w:hAnsi="Calibri"/>
          <w:b/>
          <w:sz w:val="40"/>
          <w:szCs w:val="40"/>
        </w:rPr>
      </w:pPr>
      <w:r>
        <w:rPr>
          <w:rFonts w:ascii="Calibri" w:hAnsi="Calibri"/>
          <w:b/>
          <w:sz w:val="40"/>
          <w:szCs w:val="40"/>
        </w:rPr>
        <w:t>The Hon. Michael O’Brien MP</w:t>
      </w:r>
    </w:p>
    <w:p w:rsidR="00F60B5F" w:rsidRPr="000D564C" w:rsidRDefault="00F60B5F" w:rsidP="00497D35">
      <w:pPr>
        <w:jc w:val="center"/>
        <w:rPr>
          <w:rFonts w:ascii="Calibri" w:hAnsi="Calibri"/>
          <w:sz w:val="36"/>
          <w:szCs w:val="36"/>
        </w:rPr>
      </w:pPr>
      <w:r w:rsidRPr="000D564C">
        <w:rPr>
          <w:rFonts w:ascii="Calibri" w:hAnsi="Calibri"/>
          <w:sz w:val="36"/>
          <w:szCs w:val="36"/>
        </w:rPr>
        <w:t xml:space="preserve">Treasurer of the State of </w:t>
      </w:r>
      <w:smartTag w:uri="urn:schemas-microsoft-com:office:smarttags" w:element="place">
        <w:smartTag w:uri="urn:schemas-microsoft-com:office:smarttags" w:element="State">
          <w:r w:rsidRPr="000D564C">
            <w:rPr>
              <w:rFonts w:ascii="Calibri" w:hAnsi="Calibri"/>
              <w:sz w:val="36"/>
              <w:szCs w:val="36"/>
            </w:rPr>
            <w:t>Victoria</w:t>
          </w:r>
        </w:smartTag>
      </w:smartTag>
    </w:p>
    <w:p w:rsidR="00F60B5F" w:rsidRPr="00F26180" w:rsidRDefault="00F60B5F" w:rsidP="00497D35">
      <w:pPr>
        <w:jc w:val="center"/>
        <w:rPr>
          <w:rFonts w:ascii="Calibri" w:hAnsi="Calibri"/>
          <w:sz w:val="30"/>
          <w:szCs w:val="30"/>
        </w:rPr>
      </w:pPr>
      <w:r w:rsidRPr="00F26180">
        <w:rPr>
          <w:rFonts w:ascii="Calibri" w:hAnsi="Calibri"/>
          <w:sz w:val="30"/>
          <w:szCs w:val="30"/>
        </w:rPr>
        <w:t>for the information of Honourable Members</w:t>
      </w:r>
    </w:p>
    <w:p w:rsidR="00F60B5F" w:rsidRPr="00DF427C" w:rsidRDefault="00F60B5F" w:rsidP="00497D35">
      <w:pPr>
        <w:rPr>
          <w:rFonts w:ascii="Calibri" w:hAnsi="Calibri"/>
        </w:rPr>
      </w:pPr>
    </w:p>
    <w:p w:rsidR="00F60B5F" w:rsidRDefault="00F60B5F">
      <w:pPr>
        <w:spacing w:after="0"/>
      </w:pPr>
      <w:r>
        <w:br w:type="page"/>
      </w:r>
    </w:p>
    <w:p w:rsidR="00F60B5F" w:rsidRDefault="00F60B5F" w:rsidP="003400C3"/>
    <w:p w:rsidR="00F60B5F" w:rsidRDefault="00F60B5F" w:rsidP="003400C3"/>
    <w:p w:rsidR="00F60B5F" w:rsidRDefault="00F60B5F" w:rsidP="003400C3">
      <w:pPr>
        <w:sectPr w:rsidR="00F60B5F" w:rsidSect="00D77470">
          <w:footerReference w:type="even" r:id="rId10"/>
          <w:footerReference w:type="default" r:id="rId11"/>
          <w:type w:val="oddPage"/>
          <w:pgSz w:w="9979" w:h="14170" w:code="34"/>
          <w:pgMar w:top="1138" w:right="1138" w:bottom="1138" w:left="1138" w:header="720" w:footer="720" w:gutter="0"/>
          <w:cols w:space="708"/>
          <w:vAlign w:val="center"/>
          <w:docGrid w:linePitch="360"/>
        </w:sectPr>
      </w:pPr>
    </w:p>
    <w:p w:rsidR="00F60B5F" w:rsidRPr="00DF427C" w:rsidRDefault="00F60B5F" w:rsidP="00497D35">
      <w:pPr>
        <w:pStyle w:val="TableofContentsheading"/>
      </w:pPr>
      <w:r w:rsidRPr="00DF427C">
        <w:lastRenderedPageBreak/>
        <w:t>Table of contents</w:t>
      </w:r>
    </w:p>
    <w:p w:rsidR="00F60B5F" w:rsidRDefault="00F60B5F">
      <w:pPr>
        <w:pStyle w:val="TOC1"/>
        <w:rPr>
          <w:rFonts w:asciiTheme="minorHAnsi" w:eastAsiaTheme="minorEastAsia" w:hAnsiTheme="minorHAnsi" w:cstheme="minorBidi"/>
          <w:b w:val="0"/>
          <w:noProof/>
          <w:sz w:val="22"/>
          <w:szCs w:val="22"/>
          <w:lang w:eastAsia="en-AU"/>
        </w:rPr>
      </w:pPr>
      <w:r w:rsidRPr="00DF427C">
        <w:fldChar w:fldCharType="begin"/>
      </w:r>
      <w:r w:rsidRPr="00DF427C">
        <w:instrText xml:space="preserve"> TOC \h \z \t "Heading 1,2,Chapter Heading,1" </w:instrText>
      </w:r>
      <w:r w:rsidRPr="00DF427C">
        <w:fldChar w:fldCharType="separate"/>
      </w:r>
      <w:hyperlink w:anchor="_Toc374373941" w:history="1">
        <w:r w:rsidRPr="00D0664D">
          <w:rPr>
            <w:rStyle w:val="Hyperlink"/>
            <w:noProof/>
          </w:rPr>
          <w:t>Chapter 1 – Economic and fiscal overview</w:t>
        </w:r>
        <w:r>
          <w:rPr>
            <w:noProof/>
            <w:webHidden/>
          </w:rPr>
          <w:tab/>
        </w:r>
        <w:r>
          <w:rPr>
            <w:noProof/>
            <w:webHidden/>
          </w:rPr>
          <w:fldChar w:fldCharType="begin"/>
        </w:r>
        <w:r>
          <w:rPr>
            <w:noProof/>
            <w:webHidden/>
          </w:rPr>
          <w:instrText xml:space="preserve"> PAGEREF _Toc374373941 \h </w:instrText>
        </w:r>
        <w:r>
          <w:rPr>
            <w:noProof/>
            <w:webHidden/>
          </w:rPr>
        </w:r>
        <w:r>
          <w:rPr>
            <w:noProof/>
            <w:webHidden/>
          </w:rPr>
          <w:fldChar w:fldCharType="separate"/>
        </w:r>
        <w:r w:rsidR="001C5190">
          <w:rPr>
            <w:noProof/>
            <w:webHidden/>
          </w:rPr>
          <w:t>1</w:t>
        </w:r>
        <w:r>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42" w:history="1">
        <w:r w:rsidR="00F60B5F" w:rsidRPr="00D0664D">
          <w:rPr>
            <w:rStyle w:val="Hyperlink"/>
            <w:noProof/>
          </w:rPr>
          <w:t>Economic outlook</w:t>
        </w:r>
        <w:r w:rsidR="00F60B5F">
          <w:rPr>
            <w:noProof/>
            <w:webHidden/>
          </w:rPr>
          <w:tab/>
        </w:r>
        <w:r w:rsidR="00F60B5F">
          <w:rPr>
            <w:noProof/>
            <w:webHidden/>
          </w:rPr>
          <w:fldChar w:fldCharType="begin"/>
        </w:r>
        <w:r w:rsidR="00F60B5F">
          <w:rPr>
            <w:noProof/>
            <w:webHidden/>
          </w:rPr>
          <w:instrText xml:space="preserve"> PAGEREF _Toc374373942 \h </w:instrText>
        </w:r>
        <w:r w:rsidR="00F60B5F">
          <w:rPr>
            <w:noProof/>
            <w:webHidden/>
          </w:rPr>
        </w:r>
        <w:r w:rsidR="00F60B5F">
          <w:rPr>
            <w:noProof/>
            <w:webHidden/>
          </w:rPr>
          <w:fldChar w:fldCharType="separate"/>
        </w:r>
        <w:r w:rsidR="001C5190">
          <w:rPr>
            <w:noProof/>
            <w:webHidden/>
          </w:rPr>
          <w:t>2</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43" w:history="1">
        <w:r w:rsidR="00F60B5F" w:rsidRPr="00D0664D">
          <w:rPr>
            <w:rStyle w:val="Hyperlink"/>
            <w:noProof/>
          </w:rPr>
          <w:t>Strong financial management</w:t>
        </w:r>
        <w:r w:rsidR="00F60B5F">
          <w:rPr>
            <w:noProof/>
            <w:webHidden/>
          </w:rPr>
          <w:tab/>
        </w:r>
        <w:r w:rsidR="00F60B5F">
          <w:rPr>
            <w:noProof/>
            <w:webHidden/>
          </w:rPr>
          <w:fldChar w:fldCharType="begin"/>
        </w:r>
        <w:r w:rsidR="00F60B5F">
          <w:rPr>
            <w:noProof/>
            <w:webHidden/>
          </w:rPr>
          <w:instrText xml:space="preserve"> PAGEREF _Toc374373943 \h </w:instrText>
        </w:r>
        <w:r w:rsidR="00F60B5F">
          <w:rPr>
            <w:noProof/>
            <w:webHidden/>
          </w:rPr>
        </w:r>
        <w:r w:rsidR="00F60B5F">
          <w:rPr>
            <w:noProof/>
            <w:webHidden/>
          </w:rPr>
          <w:fldChar w:fldCharType="separate"/>
        </w:r>
        <w:r w:rsidR="001C5190">
          <w:rPr>
            <w:noProof/>
            <w:webHidden/>
          </w:rPr>
          <w:t>3</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44" w:history="1">
        <w:r w:rsidR="00F60B5F" w:rsidRPr="00D0664D">
          <w:rPr>
            <w:rStyle w:val="Hyperlink"/>
            <w:noProof/>
          </w:rPr>
          <w:t>Future growth must come from strong fundamentals</w:t>
        </w:r>
        <w:r w:rsidR="00F60B5F">
          <w:rPr>
            <w:noProof/>
            <w:webHidden/>
          </w:rPr>
          <w:tab/>
        </w:r>
        <w:r w:rsidR="00F60B5F">
          <w:rPr>
            <w:noProof/>
            <w:webHidden/>
          </w:rPr>
          <w:fldChar w:fldCharType="begin"/>
        </w:r>
        <w:r w:rsidR="00F60B5F">
          <w:rPr>
            <w:noProof/>
            <w:webHidden/>
          </w:rPr>
          <w:instrText xml:space="preserve"> PAGEREF _Toc374373944 \h </w:instrText>
        </w:r>
        <w:r w:rsidR="00F60B5F">
          <w:rPr>
            <w:noProof/>
            <w:webHidden/>
          </w:rPr>
        </w:r>
        <w:r w:rsidR="00F60B5F">
          <w:rPr>
            <w:noProof/>
            <w:webHidden/>
          </w:rPr>
          <w:fldChar w:fldCharType="separate"/>
        </w:r>
        <w:r w:rsidR="001C5190">
          <w:rPr>
            <w:noProof/>
            <w:webHidden/>
          </w:rPr>
          <w:t>5</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45" w:history="1">
        <w:r w:rsidR="00F60B5F" w:rsidRPr="00D0664D">
          <w:rPr>
            <w:rStyle w:val="Hyperlink"/>
            <w:noProof/>
            <w:lang w:eastAsia="en-AU"/>
          </w:rPr>
          <w:t>Federal financial relations</w:t>
        </w:r>
        <w:r w:rsidR="00F60B5F">
          <w:rPr>
            <w:noProof/>
            <w:webHidden/>
          </w:rPr>
          <w:tab/>
        </w:r>
        <w:r w:rsidR="00F60B5F">
          <w:rPr>
            <w:noProof/>
            <w:webHidden/>
          </w:rPr>
          <w:fldChar w:fldCharType="begin"/>
        </w:r>
        <w:r w:rsidR="00F60B5F">
          <w:rPr>
            <w:noProof/>
            <w:webHidden/>
          </w:rPr>
          <w:instrText xml:space="preserve"> PAGEREF _Toc374373945 \h </w:instrText>
        </w:r>
        <w:r w:rsidR="00F60B5F">
          <w:rPr>
            <w:noProof/>
            <w:webHidden/>
          </w:rPr>
        </w:r>
        <w:r w:rsidR="00F60B5F">
          <w:rPr>
            <w:noProof/>
            <w:webHidden/>
          </w:rPr>
          <w:fldChar w:fldCharType="separate"/>
        </w:r>
        <w:r w:rsidR="001C5190">
          <w:rPr>
            <w:noProof/>
            <w:webHidden/>
          </w:rPr>
          <w:t>5</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46" w:history="1">
        <w:r w:rsidR="00F60B5F" w:rsidRPr="00D0664D">
          <w:rPr>
            <w:rStyle w:val="Hyperlink"/>
            <w:noProof/>
          </w:rPr>
          <w:t>Chapter 2 – Economic context</w:t>
        </w:r>
        <w:r w:rsidR="00F60B5F">
          <w:rPr>
            <w:noProof/>
            <w:webHidden/>
          </w:rPr>
          <w:tab/>
        </w:r>
        <w:r w:rsidR="00F60B5F">
          <w:rPr>
            <w:noProof/>
            <w:webHidden/>
          </w:rPr>
          <w:fldChar w:fldCharType="begin"/>
        </w:r>
        <w:r w:rsidR="00F60B5F">
          <w:rPr>
            <w:noProof/>
            <w:webHidden/>
          </w:rPr>
          <w:instrText xml:space="preserve"> PAGEREF _Toc374373946 \h </w:instrText>
        </w:r>
        <w:r w:rsidR="00F60B5F">
          <w:rPr>
            <w:noProof/>
            <w:webHidden/>
          </w:rPr>
        </w:r>
        <w:r w:rsidR="00F60B5F">
          <w:rPr>
            <w:noProof/>
            <w:webHidden/>
          </w:rPr>
          <w:fldChar w:fldCharType="separate"/>
        </w:r>
        <w:r w:rsidR="001C5190">
          <w:rPr>
            <w:noProof/>
            <w:webHidden/>
          </w:rPr>
          <w:t>7</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47" w:history="1">
        <w:r w:rsidR="00F60B5F" w:rsidRPr="00D0664D">
          <w:rPr>
            <w:rStyle w:val="Hyperlink"/>
            <w:noProof/>
          </w:rPr>
          <w:t>Economic overview</w:t>
        </w:r>
        <w:r w:rsidR="00F60B5F">
          <w:rPr>
            <w:noProof/>
            <w:webHidden/>
          </w:rPr>
          <w:tab/>
        </w:r>
        <w:r w:rsidR="00F60B5F">
          <w:rPr>
            <w:noProof/>
            <w:webHidden/>
          </w:rPr>
          <w:fldChar w:fldCharType="begin"/>
        </w:r>
        <w:r w:rsidR="00F60B5F">
          <w:rPr>
            <w:noProof/>
            <w:webHidden/>
          </w:rPr>
          <w:instrText xml:space="preserve"> PAGEREF _Toc374373947 \h </w:instrText>
        </w:r>
        <w:r w:rsidR="00F60B5F">
          <w:rPr>
            <w:noProof/>
            <w:webHidden/>
          </w:rPr>
        </w:r>
        <w:r w:rsidR="00F60B5F">
          <w:rPr>
            <w:noProof/>
            <w:webHidden/>
          </w:rPr>
          <w:fldChar w:fldCharType="separate"/>
        </w:r>
        <w:r w:rsidR="001C5190">
          <w:rPr>
            <w:noProof/>
            <w:webHidden/>
          </w:rPr>
          <w:t>8</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48" w:history="1">
        <w:r w:rsidR="00F60B5F" w:rsidRPr="00D0664D">
          <w:rPr>
            <w:rStyle w:val="Hyperlink"/>
            <w:noProof/>
          </w:rPr>
          <w:t>Risks to the outlook</w:t>
        </w:r>
        <w:r w:rsidR="00F60B5F">
          <w:rPr>
            <w:noProof/>
            <w:webHidden/>
          </w:rPr>
          <w:tab/>
        </w:r>
        <w:r w:rsidR="00F60B5F">
          <w:rPr>
            <w:noProof/>
            <w:webHidden/>
          </w:rPr>
          <w:fldChar w:fldCharType="begin"/>
        </w:r>
        <w:r w:rsidR="00F60B5F">
          <w:rPr>
            <w:noProof/>
            <w:webHidden/>
          </w:rPr>
          <w:instrText xml:space="preserve"> PAGEREF _Toc374373948 \h </w:instrText>
        </w:r>
        <w:r w:rsidR="00F60B5F">
          <w:rPr>
            <w:noProof/>
            <w:webHidden/>
          </w:rPr>
        </w:r>
        <w:r w:rsidR="00F60B5F">
          <w:rPr>
            <w:noProof/>
            <w:webHidden/>
          </w:rPr>
          <w:fldChar w:fldCharType="separate"/>
        </w:r>
        <w:r w:rsidR="001C5190">
          <w:rPr>
            <w:noProof/>
            <w:webHidden/>
          </w:rPr>
          <w:t>11</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49" w:history="1">
        <w:r w:rsidR="00F60B5F" w:rsidRPr="00D0664D">
          <w:rPr>
            <w:rStyle w:val="Hyperlink"/>
            <w:noProof/>
          </w:rPr>
          <w:t>Chapter 3 – Budget position and outlook</w:t>
        </w:r>
        <w:r w:rsidR="00F60B5F">
          <w:rPr>
            <w:noProof/>
            <w:webHidden/>
          </w:rPr>
          <w:tab/>
        </w:r>
        <w:r w:rsidR="00F60B5F">
          <w:rPr>
            <w:noProof/>
            <w:webHidden/>
          </w:rPr>
          <w:fldChar w:fldCharType="begin"/>
        </w:r>
        <w:r w:rsidR="00F60B5F">
          <w:rPr>
            <w:noProof/>
            <w:webHidden/>
          </w:rPr>
          <w:instrText xml:space="preserve"> PAGEREF _Toc374373949 \h </w:instrText>
        </w:r>
        <w:r w:rsidR="00F60B5F">
          <w:rPr>
            <w:noProof/>
            <w:webHidden/>
          </w:rPr>
        </w:r>
        <w:r w:rsidR="00F60B5F">
          <w:rPr>
            <w:noProof/>
            <w:webHidden/>
          </w:rPr>
          <w:fldChar w:fldCharType="separate"/>
        </w:r>
        <w:r w:rsidR="001C5190">
          <w:rPr>
            <w:noProof/>
            <w:webHidden/>
          </w:rPr>
          <w:t>13</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50" w:history="1">
        <w:r w:rsidR="00F60B5F" w:rsidRPr="00D0664D">
          <w:rPr>
            <w:rStyle w:val="Hyperlink"/>
            <w:noProof/>
          </w:rPr>
          <w:t>General government sector</w:t>
        </w:r>
        <w:r w:rsidR="00F60B5F">
          <w:rPr>
            <w:noProof/>
            <w:webHidden/>
          </w:rPr>
          <w:tab/>
        </w:r>
        <w:r w:rsidR="00F60B5F">
          <w:rPr>
            <w:noProof/>
            <w:webHidden/>
          </w:rPr>
          <w:fldChar w:fldCharType="begin"/>
        </w:r>
        <w:r w:rsidR="00F60B5F">
          <w:rPr>
            <w:noProof/>
            <w:webHidden/>
          </w:rPr>
          <w:instrText xml:space="preserve"> PAGEREF _Toc374373950 \h </w:instrText>
        </w:r>
        <w:r w:rsidR="00F60B5F">
          <w:rPr>
            <w:noProof/>
            <w:webHidden/>
          </w:rPr>
        </w:r>
        <w:r w:rsidR="00F60B5F">
          <w:rPr>
            <w:noProof/>
            <w:webHidden/>
          </w:rPr>
          <w:fldChar w:fldCharType="separate"/>
        </w:r>
        <w:r w:rsidR="001C5190">
          <w:rPr>
            <w:noProof/>
            <w:webHidden/>
          </w:rPr>
          <w:t>14</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51" w:history="1">
        <w:r w:rsidR="00F60B5F" w:rsidRPr="00D0664D">
          <w:rPr>
            <w:rStyle w:val="Hyperlink"/>
            <w:noProof/>
          </w:rPr>
          <w:t>Non</w:t>
        </w:r>
        <w:r w:rsidR="00F60B5F">
          <w:rPr>
            <w:rStyle w:val="Hyperlink"/>
            <w:noProof/>
          </w:rPr>
          <w:noBreakHyphen/>
        </w:r>
        <w:r w:rsidR="00F60B5F" w:rsidRPr="00D0664D">
          <w:rPr>
            <w:rStyle w:val="Hyperlink"/>
            <w:noProof/>
          </w:rPr>
          <w:t>financial public sector</w:t>
        </w:r>
        <w:r w:rsidR="00F60B5F">
          <w:rPr>
            <w:noProof/>
            <w:webHidden/>
          </w:rPr>
          <w:tab/>
        </w:r>
        <w:r w:rsidR="00F60B5F">
          <w:rPr>
            <w:noProof/>
            <w:webHidden/>
          </w:rPr>
          <w:fldChar w:fldCharType="begin"/>
        </w:r>
        <w:r w:rsidR="00F60B5F">
          <w:rPr>
            <w:noProof/>
            <w:webHidden/>
          </w:rPr>
          <w:instrText xml:space="preserve"> PAGEREF _Toc374373951 \h </w:instrText>
        </w:r>
        <w:r w:rsidR="00F60B5F">
          <w:rPr>
            <w:noProof/>
            <w:webHidden/>
          </w:rPr>
        </w:r>
        <w:r w:rsidR="00F60B5F">
          <w:rPr>
            <w:noProof/>
            <w:webHidden/>
          </w:rPr>
          <w:fldChar w:fldCharType="separate"/>
        </w:r>
        <w:r w:rsidR="001C5190">
          <w:rPr>
            <w:noProof/>
            <w:webHidden/>
          </w:rPr>
          <w:t>32</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52" w:history="1">
        <w:r w:rsidR="00F60B5F" w:rsidRPr="00D0664D">
          <w:rPr>
            <w:rStyle w:val="Hyperlink"/>
            <w:noProof/>
          </w:rPr>
          <w:t>State of Victoria</w:t>
        </w:r>
        <w:r w:rsidR="00F60B5F">
          <w:rPr>
            <w:noProof/>
            <w:webHidden/>
          </w:rPr>
          <w:tab/>
        </w:r>
        <w:r w:rsidR="00F60B5F">
          <w:rPr>
            <w:noProof/>
            <w:webHidden/>
          </w:rPr>
          <w:fldChar w:fldCharType="begin"/>
        </w:r>
        <w:r w:rsidR="00F60B5F">
          <w:rPr>
            <w:noProof/>
            <w:webHidden/>
          </w:rPr>
          <w:instrText xml:space="preserve"> PAGEREF _Toc374373952 \h </w:instrText>
        </w:r>
        <w:r w:rsidR="00F60B5F">
          <w:rPr>
            <w:noProof/>
            <w:webHidden/>
          </w:rPr>
        </w:r>
        <w:r w:rsidR="00F60B5F">
          <w:rPr>
            <w:noProof/>
            <w:webHidden/>
          </w:rPr>
          <w:fldChar w:fldCharType="separate"/>
        </w:r>
        <w:r w:rsidR="001C5190">
          <w:rPr>
            <w:noProof/>
            <w:webHidden/>
          </w:rPr>
          <w:t>37</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53" w:history="1">
        <w:r w:rsidR="00F60B5F" w:rsidRPr="00D0664D">
          <w:rPr>
            <w:rStyle w:val="Hyperlink"/>
            <w:noProof/>
          </w:rPr>
          <w:t>Chapter 4 – Economic strategy for long term growth</w:t>
        </w:r>
        <w:r w:rsidR="00F60B5F">
          <w:rPr>
            <w:noProof/>
            <w:webHidden/>
          </w:rPr>
          <w:tab/>
        </w:r>
        <w:r w:rsidR="00F60B5F">
          <w:rPr>
            <w:noProof/>
            <w:webHidden/>
          </w:rPr>
          <w:fldChar w:fldCharType="begin"/>
        </w:r>
        <w:r w:rsidR="00F60B5F">
          <w:rPr>
            <w:noProof/>
            <w:webHidden/>
          </w:rPr>
          <w:instrText xml:space="preserve"> PAGEREF _Toc374373953 \h </w:instrText>
        </w:r>
        <w:r w:rsidR="00F60B5F">
          <w:rPr>
            <w:noProof/>
            <w:webHidden/>
          </w:rPr>
        </w:r>
        <w:r w:rsidR="00F60B5F">
          <w:rPr>
            <w:noProof/>
            <w:webHidden/>
          </w:rPr>
          <w:fldChar w:fldCharType="separate"/>
        </w:r>
        <w:r w:rsidR="001C5190">
          <w:rPr>
            <w:noProof/>
            <w:webHidden/>
          </w:rPr>
          <w:t>39</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54" w:history="1">
        <w:r w:rsidR="00F60B5F" w:rsidRPr="00D0664D">
          <w:rPr>
            <w:rStyle w:val="Hyperlink"/>
            <w:noProof/>
          </w:rPr>
          <w:t>High quality, innovative and efficient services</w:t>
        </w:r>
        <w:r w:rsidR="00F60B5F">
          <w:rPr>
            <w:noProof/>
            <w:webHidden/>
          </w:rPr>
          <w:tab/>
        </w:r>
        <w:r w:rsidR="00F60B5F">
          <w:rPr>
            <w:noProof/>
            <w:webHidden/>
          </w:rPr>
          <w:fldChar w:fldCharType="begin"/>
        </w:r>
        <w:r w:rsidR="00F60B5F">
          <w:rPr>
            <w:noProof/>
            <w:webHidden/>
          </w:rPr>
          <w:instrText xml:space="preserve"> PAGEREF _Toc374373954 \h </w:instrText>
        </w:r>
        <w:r w:rsidR="00F60B5F">
          <w:rPr>
            <w:noProof/>
            <w:webHidden/>
          </w:rPr>
        </w:r>
        <w:r w:rsidR="00F60B5F">
          <w:rPr>
            <w:noProof/>
            <w:webHidden/>
          </w:rPr>
          <w:fldChar w:fldCharType="separate"/>
        </w:r>
        <w:r w:rsidR="001C5190">
          <w:rPr>
            <w:noProof/>
            <w:webHidden/>
          </w:rPr>
          <w:t>40</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55" w:history="1">
        <w:r w:rsidR="00F60B5F" w:rsidRPr="00D0664D">
          <w:rPr>
            <w:rStyle w:val="Hyperlink"/>
            <w:noProof/>
          </w:rPr>
          <w:t>Growing Victoria’s economy – competitiveness, productivity and investment</w:t>
        </w:r>
        <w:r w:rsidR="00F60B5F">
          <w:rPr>
            <w:noProof/>
            <w:webHidden/>
          </w:rPr>
          <w:tab/>
        </w:r>
        <w:r w:rsidR="00F60B5F">
          <w:rPr>
            <w:noProof/>
            <w:webHidden/>
          </w:rPr>
          <w:fldChar w:fldCharType="begin"/>
        </w:r>
        <w:r w:rsidR="00F60B5F">
          <w:rPr>
            <w:noProof/>
            <w:webHidden/>
          </w:rPr>
          <w:instrText xml:space="preserve"> PAGEREF _Toc374373955 \h </w:instrText>
        </w:r>
        <w:r w:rsidR="00F60B5F">
          <w:rPr>
            <w:noProof/>
            <w:webHidden/>
          </w:rPr>
        </w:r>
        <w:r w:rsidR="00F60B5F">
          <w:rPr>
            <w:noProof/>
            <w:webHidden/>
          </w:rPr>
          <w:fldChar w:fldCharType="separate"/>
        </w:r>
        <w:r w:rsidR="001C5190">
          <w:rPr>
            <w:noProof/>
            <w:webHidden/>
          </w:rPr>
          <w:t>43</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56" w:history="1">
        <w:r w:rsidR="00F60B5F" w:rsidRPr="00D0664D">
          <w:rPr>
            <w:rStyle w:val="Hyperlink"/>
            <w:noProof/>
          </w:rPr>
          <w:t>Chapter 5 – Estimated financial statements and notes</w:t>
        </w:r>
        <w:r w:rsidR="00F60B5F">
          <w:rPr>
            <w:noProof/>
            <w:webHidden/>
          </w:rPr>
          <w:tab/>
        </w:r>
        <w:r w:rsidR="00F60B5F">
          <w:rPr>
            <w:noProof/>
            <w:webHidden/>
          </w:rPr>
          <w:fldChar w:fldCharType="begin"/>
        </w:r>
        <w:r w:rsidR="00F60B5F">
          <w:rPr>
            <w:noProof/>
            <w:webHidden/>
          </w:rPr>
          <w:instrText xml:space="preserve"> PAGEREF _Toc374373956 \h </w:instrText>
        </w:r>
        <w:r w:rsidR="00F60B5F">
          <w:rPr>
            <w:noProof/>
            <w:webHidden/>
          </w:rPr>
        </w:r>
        <w:r w:rsidR="00F60B5F">
          <w:rPr>
            <w:noProof/>
            <w:webHidden/>
          </w:rPr>
          <w:fldChar w:fldCharType="separate"/>
        </w:r>
        <w:r w:rsidR="001C5190">
          <w:rPr>
            <w:noProof/>
            <w:webHidden/>
          </w:rPr>
          <w:t>53</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57" w:history="1">
        <w:r w:rsidR="00F60B5F" w:rsidRPr="00D0664D">
          <w:rPr>
            <w:rStyle w:val="Hyperlink"/>
            <w:noProof/>
          </w:rPr>
          <w:t>Notes to the financial statements</w:t>
        </w:r>
        <w:r w:rsidR="00F60B5F">
          <w:rPr>
            <w:noProof/>
            <w:webHidden/>
          </w:rPr>
          <w:tab/>
        </w:r>
        <w:r w:rsidR="00F60B5F">
          <w:rPr>
            <w:noProof/>
            <w:webHidden/>
          </w:rPr>
          <w:fldChar w:fldCharType="begin"/>
        </w:r>
        <w:r w:rsidR="00F60B5F">
          <w:rPr>
            <w:noProof/>
            <w:webHidden/>
          </w:rPr>
          <w:instrText xml:space="preserve"> PAGEREF _Toc374373957 \h </w:instrText>
        </w:r>
        <w:r w:rsidR="00F60B5F">
          <w:rPr>
            <w:noProof/>
            <w:webHidden/>
          </w:rPr>
        </w:r>
        <w:r w:rsidR="00F60B5F">
          <w:rPr>
            <w:noProof/>
            <w:webHidden/>
          </w:rPr>
          <w:fldChar w:fldCharType="separate"/>
        </w:r>
        <w:r w:rsidR="001C5190">
          <w:rPr>
            <w:noProof/>
            <w:webHidden/>
          </w:rPr>
          <w:t>60</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58" w:history="1">
        <w:r w:rsidR="00F60B5F" w:rsidRPr="00D0664D">
          <w:rPr>
            <w:rStyle w:val="Hyperlink"/>
            <w:noProof/>
          </w:rPr>
          <w:t>Chapter 6 – Supplementary uniform presentation framework tables</w:t>
        </w:r>
        <w:r w:rsidR="00F60B5F">
          <w:rPr>
            <w:noProof/>
            <w:webHidden/>
          </w:rPr>
          <w:tab/>
        </w:r>
        <w:r w:rsidR="00F60B5F">
          <w:rPr>
            <w:noProof/>
            <w:webHidden/>
          </w:rPr>
          <w:fldChar w:fldCharType="begin"/>
        </w:r>
        <w:r w:rsidR="00F60B5F">
          <w:rPr>
            <w:noProof/>
            <w:webHidden/>
          </w:rPr>
          <w:instrText xml:space="preserve"> PAGEREF _Toc374373958 \h </w:instrText>
        </w:r>
        <w:r w:rsidR="00F60B5F">
          <w:rPr>
            <w:noProof/>
            <w:webHidden/>
          </w:rPr>
        </w:r>
        <w:r w:rsidR="00F60B5F">
          <w:rPr>
            <w:noProof/>
            <w:webHidden/>
          </w:rPr>
          <w:fldChar w:fldCharType="separate"/>
        </w:r>
        <w:r w:rsidR="001C5190">
          <w:rPr>
            <w:noProof/>
            <w:webHidden/>
          </w:rPr>
          <w:t>87</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59" w:history="1">
        <w:r w:rsidR="00F60B5F" w:rsidRPr="00D0664D">
          <w:rPr>
            <w:rStyle w:val="Hyperlink"/>
            <w:noProof/>
          </w:rPr>
          <w:t>Victoria’s 2013</w:t>
        </w:r>
        <w:r w:rsidR="00F60B5F">
          <w:rPr>
            <w:rStyle w:val="Hyperlink"/>
            <w:noProof/>
          </w:rPr>
          <w:noBreakHyphen/>
        </w:r>
        <w:r w:rsidR="00F60B5F" w:rsidRPr="00D0664D">
          <w:rPr>
            <w:rStyle w:val="Hyperlink"/>
            <w:noProof/>
          </w:rPr>
          <w:t>14 Loan Council Allocation</w:t>
        </w:r>
        <w:r w:rsidR="00F60B5F">
          <w:rPr>
            <w:noProof/>
            <w:webHidden/>
          </w:rPr>
          <w:tab/>
        </w:r>
        <w:r w:rsidR="00F60B5F">
          <w:rPr>
            <w:noProof/>
            <w:webHidden/>
          </w:rPr>
          <w:fldChar w:fldCharType="begin"/>
        </w:r>
        <w:r w:rsidR="00F60B5F">
          <w:rPr>
            <w:noProof/>
            <w:webHidden/>
          </w:rPr>
          <w:instrText xml:space="preserve"> PAGEREF _Toc374373959 \h </w:instrText>
        </w:r>
        <w:r w:rsidR="00F60B5F">
          <w:rPr>
            <w:noProof/>
            <w:webHidden/>
          </w:rPr>
        </w:r>
        <w:r w:rsidR="00F60B5F">
          <w:rPr>
            <w:noProof/>
            <w:webHidden/>
          </w:rPr>
          <w:fldChar w:fldCharType="separate"/>
        </w:r>
        <w:r w:rsidR="001C5190">
          <w:rPr>
            <w:noProof/>
            <w:webHidden/>
          </w:rPr>
          <w:t>119</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60" w:history="1">
        <w:r w:rsidR="00F60B5F" w:rsidRPr="00D0664D">
          <w:rPr>
            <w:rStyle w:val="Hyperlink"/>
            <w:noProof/>
          </w:rPr>
          <w:t>Chapter 7 – Contingent assets and contingent liabilities</w:t>
        </w:r>
        <w:r w:rsidR="00F60B5F">
          <w:rPr>
            <w:noProof/>
            <w:webHidden/>
          </w:rPr>
          <w:tab/>
        </w:r>
        <w:r w:rsidR="00F60B5F">
          <w:rPr>
            <w:noProof/>
            <w:webHidden/>
          </w:rPr>
          <w:fldChar w:fldCharType="begin"/>
        </w:r>
        <w:r w:rsidR="00F60B5F">
          <w:rPr>
            <w:noProof/>
            <w:webHidden/>
          </w:rPr>
          <w:instrText xml:space="preserve"> PAGEREF _Toc374373960 \h </w:instrText>
        </w:r>
        <w:r w:rsidR="00F60B5F">
          <w:rPr>
            <w:noProof/>
            <w:webHidden/>
          </w:rPr>
        </w:r>
        <w:r w:rsidR="00F60B5F">
          <w:rPr>
            <w:noProof/>
            <w:webHidden/>
          </w:rPr>
          <w:fldChar w:fldCharType="separate"/>
        </w:r>
        <w:r w:rsidR="001C5190">
          <w:rPr>
            <w:noProof/>
            <w:webHidden/>
          </w:rPr>
          <w:t>121</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61" w:history="1">
        <w:r w:rsidR="00F60B5F" w:rsidRPr="00D0664D">
          <w:rPr>
            <w:rStyle w:val="Hyperlink"/>
            <w:noProof/>
          </w:rPr>
          <w:t>Contingent assets</w:t>
        </w:r>
        <w:r w:rsidR="00F60B5F">
          <w:rPr>
            <w:noProof/>
            <w:webHidden/>
          </w:rPr>
          <w:tab/>
        </w:r>
        <w:r w:rsidR="00F60B5F">
          <w:rPr>
            <w:noProof/>
            <w:webHidden/>
          </w:rPr>
          <w:fldChar w:fldCharType="begin"/>
        </w:r>
        <w:r w:rsidR="00F60B5F">
          <w:rPr>
            <w:noProof/>
            <w:webHidden/>
          </w:rPr>
          <w:instrText xml:space="preserve"> PAGEREF _Toc374373961 \h </w:instrText>
        </w:r>
        <w:r w:rsidR="00F60B5F">
          <w:rPr>
            <w:noProof/>
            <w:webHidden/>
          </w:rPr>
        </w:r>
        <w:r w:rsidR="00F60B5F">
          <w:rPr>
            <w:noProof/>
            <w:webHidden/>
          </w:rPr>
          <w:fldChar w:fldCharType="separate"/>
        </w:r>
        <w:r w:rsidR="001C5190">
          <w:rPr>
            <w:noProof/>
            <w:webHidden/>
          </w:rPr>
          <w:t>121</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62" w:history="1">
        <w:r w:rsidR="00F60B5F" w:rsidRPr="00D0664D">
          <w:rPr>
            <w:rStyle w:val="Hyperlink"/>
            <w:noProof/>
          </w:rPr>
          <w:t>Contingent liabilities</w:t>
        </w:r>
        <w:r w:rsidR="00F60B5F">
          <w:rPr>
            <w:noProof/>
            <w:webHidden/>
          </w:rPr>
          <w:tab/>
        </w:r>
        <w:r w:rsidR="00F60B5F">
          <w:rPr>
            <w:noProof/>
            <w:webHidden/>
          </w:rPr>
          <w:fldChar w:fldCharType="begin"/>
        </w:r>
        <w:r w:rsidR="00F60B5F">
          <w:rPr>
            <w:noProof/>
            <w:webHidden/>
          </w:rPr>
          <w:instrText xml:space="preserve"> PAGEREF _Toc374373962 \h </w:instrText>
        </w:r>
        <w:r w:rsidR="00F60B5F">
          <w:rPr>
            <w:noProof/>
            <w:webHidden/>
          </w:rPr>
        </w:r>
        <w:r w:rsidR="00F60B5F">
          <w:rPr>
            <w:noProof/>
            <w:webHidden/>
          </w:rPr>
          <w:fldChar w:fldCharType="separate"/>
        </w:r>
        <w:r w:rsidR="001C5190">
          <w:rPr>
            <w:noProof/>
            <w:webHidden/>
          </w:rPr>
          <w:t>122</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63" w:history="1">
        <w:r w:rsidR="00F60B5F" w:rsidRPr="00D0664D">
          <w:rPr>
            <w:rStyle w:val="Hyperlink"/>
            <w:noProof/>
          </w:rPr>
          <w:t>Appendix A – Specific policy initiatives affecting budget position</w:t>
        </w:r>
        <w:r w:rsidR="00F60B5F">
          <w:rPr>
            <w:noProof/>
            <w:webHidden/>
          </w:rPr>
          <w:tab/>
        </w:r>
        <w:r w:rsidR="00F60B5F">
          <w:rPr>
            <w:noProof/>
            <w:webHidden/>
          </w:rPr>
          <w:fldChar w:fldCharType="begin"/>
        </w:r>
        <w:r w:rsidR="00F60B5F">
          <w:rPr>
            <w:noProof/>
            <w:webHidden/>
          </w:rPr>
          <w:instrText xml:space="preserve"> PAGEREF _Toc374373963 \h </w:instrText>
        </w:r>
        <w:r w:rsidR="00F60B5F">
          <w:rPr>
            <w:noProof/>
            <w:webHidden/>
          </w:rPr>
        </w:r>
        <w:r w:rsidR="00F60B5F">
          <w:rPr>
            <w:noProof/>
            <w:webHidden/>
          </w:rPr>
          <w:fldChar w:fldCharType="separate"/>
        </w:r>
        <w:r w:rsidR="001C5190">
          <w:rPr>
            <w:noProof/>
            <w:webHidden/>
          </w:rPr>
          <w:t>129</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64" w:history="1">
        <w:r w:rsidR="00F60B5F" w:rsidRPr="00D0664D">
          <w:rPr>
            <w:rStyle w:val="Hyperlink"/>
            <w:noProof/>
          </w:rPr>
          <w:t>Efficiency measures</w:t>
        </w:r>
        <w:r w:rsidR="00F60B5F">
          <w:rPr>
            <w:noProof/>
            <w:webHidden/>
          </w:rPr>
          <w:tab/>
        </w:r>
        <w:r w:rsidR="00F60B5F">
          <w:rPr>
            <w:noProof/>
            <w:webHidden/>
          </w:rPr>
          <w:fldChar w:fldCharType="begin"/>
        </w:r>
        <w:r w:rsidR="00F60B5F">
          <w:rPr>
            <w:noProof/>
            <w:webHidden/>
          </w:rPr>
          <w:instrText xml:space="preserve"> PAGEREF _Toc374373964 \h </w:instrText>
        </w:r>
        <w:r w:rsidR="00F60B5F">
          <w:rPr>
            <w:noProof/>
            <w:webHidden/>
          </w:rPr>
        </w:r>
        <w:r w:rsidR="00F60B5F">
          <w:rPr>
            <w:noProof/>
            <w:webHidden/>
          </w:rPr>
          <w:fldChar w:fldCharType="separate"/>
        </w:r>
        <w:r w:rsidR="001C5190">
          <w:rPr>
            <w:noProof/>
            <w:webHidden/>
          </w:rPr>
          <w:t>129</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65" w:history="1">
        <w:r w:rsidR="00F60B5F" w:rsidRPr="00D0664D">
          <w:rPr>
            <w:rStyle w:val="Hyperlink"/>
            <w:noProof/>
          </w:rPr>
          <w:t>Revenue initiatives</w:t>
        </w:r>
        <w:r w:rsidR="00F60B5F">
          <w:rPr>
            <w:noProof/>
            <w:webHidden/>
          </w:rPr>
          <w:tab/>
        </w:r>
        <w:r w:rsidR="00F60B5F">
          <w:rPr>
            <w:noProof/>
            <w:webHidden/>
          </w:rPr>
          <w:fldChar w:fldCharType="begin"/>
        </w:r>
        <w:r w:rsidR="00F60B5F">
          <w:rPr>
            <w:noProof/>
            <w:webHidden/>
          </w:rPr>
          <w:instrText xml:space="preserve"> PAGEREF _Toc374373965 \h </w:instrText>
        </w:r>
        <w:r w:rsidR="00F60B5F">
          <w:rPr>
            <w:noProof/>
            <w:webHidden/>
          </w:rPr>
        </w:r>
        <w:r w:rsidR="00F60B5F">
          <w:rPr>
            <w:noProof/>
            <w:webHidden/>
          </w:rPr>
          <w:fldChar w:fldCharType="separate"/>
        </w:r>
        <w:r w:rsidR="001C5190">
          <w:rPr>
            <w:noProof/>
            <w:webHidden/>
          </w:rPr>
          <w:t>130</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66" w:history="1">
        <w:r w:rsidR="00F60B5F" w:rsidRPr="00D0664D">
          <w:rPr>
            <w:rStyle w:val="Hyperlink"/>
            <w:noProof/>
          </w:rPr>
          <w:t>Department of Health</w:t>
        </w:r>
        <w:r w:rsidR="00F60B5F">
          <w:rPr>
            <w:noProof/>
            <w:webHidden/>
          </w:rPr>
          <w:tab/>
        </w:r>
        <w:r w:rsidR="00F60B5F">
          <w:rPr>
            <w:noProof/>
            <w:webHidden/>
          </w:rPr>
          <w:fldChar w:fldCharType="begin"/>
        </w:r>
        <w:r w:rsidR="00F60B5F">
          <w:rPr>
            <w:noProof/>
            <w:webHidden/>
          </w:rPr>
          <w:instrText xml:space="preserve"> PAGEREF _Toc374373966 \h </w:instrText>
        </w:r>
        <w:r w:rsidR="00F60B5F">
          <w:rPr>
            <w:noProof/>
            <w:webHidden/>
          </w:rPr>
        </w:r>
        <w:r w:rsidR="00F60B5F">
          <w:rPr>
            <w:noProof/>
            <w:webHidden/>
          </w:rPr>
          <w:fldChar w:fldCharType="separate"/>
        </w:r>
        <w:r w:rsidR="001C5190">
          <w:rPr>
            <w:noProof/>
            <w:webHidden/>
          </w:rPr>
          <w:t>132</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67" w:history="1">
        <w:r w:rsidR="00F60B5F" w:rsidRPr="00D0664D">
          <w:rPr>
            <w:rStyle w:val="Hyperlink"/>
            <w:noProof/>
          </w:rPr>
          <w:t>Department of Justice</w:t>
        </w:r>
        <w:r w:rsidR="00F60B5F">
          <w:rPr>
            <w:noProof/>
            <w:webHidden/>
          </w:rPr>
          <w:tab/>
        </w:r>
        <w:r w:rsidR="00F60B5F">
          <w:rPr>
            <w:noProof/>
            <w:webHidden/>
          </w:rPr>
          <w:fldChar w:fldCharType="begin"/>
        </w:r>
        <w:r w:rsidR="00F60B5F">
          <w:rPr>
            <w:noProof/>
            <w:webHidden/>
          </w:rPr>
          <w:instrText xml:space="preserve"> PAGEREF _Toc374373967 \h </w:instrText>
        </w:r>
        <w:r w:rsidR="00F60B5F">
          <w:rPr>
            <w:noProof/>
            <w:webHidden/>
          </w:rPr>
        </w:r>
        <w:r w:rsidR="00F60B5F">
          <w:rPr>
            <w:noProof/>
            <w:webHidden/>
          </w:rPr>
          <w:fldChar w:fldCharType="separate"/>
        </w:r>
        <w:r w:rsidR="001C5190">
          <w:rPr>
            <w:noProof/>
            <w:webHidden/>
          </w:rPr>
          <w:t>132</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68" w:history="1">
        <w:r w:rsidR="00F60B5F" w:rsidRPr="00D0664D">
          <w:rPr>
            <w:rStyle w:val="Hyperlink"/>
            <w:noProof/>
          </w:rPr>
          <w:t>Department of Premier and Cabinet</w:t>
        </w:r>
        <w:r w:rsidR="00F60B5F">
          <w:rPr>
            <w:noProof/>
            <w:webHidden/>
          </w:rPr>
          <w:tab/>
        </w:r>
        <w:r w:rsidR="00F60B5F">
          <w:rPr>
            <w:noProof/>
            <w:webHidden/>
          </w:rPr>
          <w:fldChar w:fldCharType="begin"/>
        </w:r>
        <w:r w:rsidR="00F60B5F">
          <w:rPr>
            <w:noProof/>
            <w:webHidden/>
          </w:rPr>
          <w:instrText xml:space="preserve"> PAGEREF _Toc374373968 \h </w:instrText>
        </w:r>
        <w:r w:rsidR="00F60B5F">
          <w:rPr>
            <w:noProof/>
            <w:webHidden/>
          </w:rPr>
        </w:r>
        <w:r w:rsidR="00F60B5F">
          <w:rPr>
            <w:noProof/>
            <w:webHidden/>
          </w:rPr>
          <w:fldChar w:fldCharType="separate"/>
        </w:r>
        <w:r w:rsidR="001C5190">
          <w:rPr>
            <w:noProof/>
            <w:webHidden/>
          </w:rPr>
          <w:t>134</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69" w:history="1">
        <w:r w:rsidR="00F60B5F" w:rsidRPr="00D0664D">
          <w:rPr>
            <w:rStyle w:val="Hyperlink"/>
            <w:noProof/>
          </w:rPr>
          <w:t>Department of State Development, Business and Innovation</w:t>
        </w:r>
        <w:r w:rsidR="00F60B5F">
          <w:rPr>
            <w:noProof/>
            <w:webHidden/>
          </w:rPr>
          <w:tab/>
        </w:r>
        <w:r w:rsidR="00F60B5F">
          <w:rPr>
            <w:noProof/>
            <w:webHidden/>
          </w:rPr>
          <w:fldChar w:fldCharType="begin"/>
        </w:r>
        <w:r w:rsidR="00F60B5F">
          <w:rPr>
            <w:noProof/>
            <w:webHidden/>
          </w:rPr>
          <w:instrText xml:space="preserve"> PAGEREF _Toc374373969 \h </w:instrText>
        </w:r>
        <w:r w:rsidR="00F60B5F">
          <w:rPr>
            <w:noProof/>
            <w:webHidden/>
          </w:rPr>
        </w:r>
        <w:r w:rsidR="00F60B5F">
          <w:rPr>
            <w:noProof/>
            <w:webHidden/>
          </w:rPr>
          <w:fldChar w:fldCharType="separate"/>
        </w:r>
        <w:r w:rsidR="001C5190">
          <w:rPr>
            <w:noProof/>
            <w:webHidden/>
          </w:rPr>
          <w:t>134</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70" w:history="1">
        <w:r w:rsidR="00F60B5F" w:rsidRPr="00D0664D">
          <w:rPr>
            <w:rStyle w:val="Hyperlink"/>
            <w:noProof/>
          </w:rPr>
          <w:t>Department of Transport, Planning, and Local Infrastructure</w:t>
        </w:r>
        <w:r w:rsidR="00F60B5F">
          <w:rPr>
            <w:noProof/>
            <w:webHidden/>
          </w:rPr>
          <w:tab/>
        </w:r>
        <w:r w:rsidR="00F60B5F">
          <w:rPr>
            <w:noProof/>
            <w:webHidden/>
          </w:rPr>
          <w:fldChar w:fldCharType="begin"/>
        </w:r>
        <w:r w:rsidR="00F60B5F">
          <w:rPr>
            <w:noProof/>
            <w:webHidden/>
          </w:rPr>
          <w:instrText xml:space="preserve"> PAGEREF _Toc374373970 \h </w:instrText>
        </w:r>
        <w:r w:rsidR="00F60B5F">
          <w:rPr>
            <w:noProof/>
            <w:webHidden/>
          </w:rPr>
        </w:r>
        <w:r w:rsidR="00F60B5F">
          <w:rPr>
            <w:noProof/>
            <w:webHidden/>
          </w:rPr>
          <w:fldChar w:fldCharType="separate"/>
        </w:r>
        <w:r w:rsidR="001C5190">
          <w:rPr>
            <w:noProof/>
            <w:webHidden/>
          </w:rPr>
          <w:t>135</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71" w:history="1">
        <w:r w:rsidR="00F60B5F" w:rsidRPr="00D0664D">
          <w:rPr>
            <w:rStyle w:val="Hyperlink"/>
            <w:noProof/>
          </w:rPr>
          <w:t>Department of Treasury and Finance</w:t>
        </w:r>
        <w:r w:rsidR="00F60B5F">
          <w:rPr>
            <w:noProof/>
            <w:webHidden/>
          </w:rPr>
          <w:tab/>
        </w:r>
        <w:r w:rsidR="00F60B5F">
          <w:rPr>
            <w:noProof/>
            <w:webHidden/>
          </w:rPr>
          <w:fldChar w:fldCharType="begin"/>
        </w:r>
        <w:r w:rsidR="00F60B5F">
          <w:rPr>
            <w:noProof/>
            <w:webHidden/>
          </w:rPr>
          <w:instrText xml:space="preserve"> PAGEREF _Toc374373971 \h </w:instrText>
        </w:r>
        <w:r w:rsidR="00F60B5F">
          <w:rPr>
            <w:noProof/>
            <w:webHidden/>
          </w:rPr>
        </w:r>
        <w:r w:rsidR="00F60B5F">
          <w:rPr>
            <w:noProof/>
            <w:webHidden/>
          </w:rPr>
          <w:fldChar w:fldCharType="separate"/>
        </w:r>
        <w:r w:rsidR="001C5190">
          <w:rPr>
            <w:noProof/>
            <w:webHidden/>
          </w:rPr>
          <w:t>136</w:t>
        </w:r>
        <w:r w:rsidR="00F60B5F">
          <w:rPr>
            <w:noProof/>
            <w:webHidden/>
          </w:rPr>
          <w:fldChar w:fldCharType="end"/>
        </w:r>
      </w:hyperlink>
    </w:p>
    <w:p w:rsidR="00F60B5F" w:rsidRDefault="00F60B5F">
      <w:pPr>
        <w:spacing w:after="0"/>
        <w:rPr>
          <w:rStyle w:val="Hyperlink"/>
          <w:rFonts w:ascii="Calibri" w:hAnsi="Calibri"/>
          <w:b/>
          <w:noProof/>
          <w:sz w:val="24"/>
        </w:rPr>
      </w:pPr>
      <w:r>
        <w:rPr>
          <w:rStyle w:val="Hyperlink"/>
          <w:noProof/>
        </w:rPr>
        <w:br w:type="page"/>
      </w:r>
    </w:p>
    <w:p w:rsidR="005E7286" w:rsidRDefault="005E7286" w:rsidP="005E7286">
      <w:pPr>
        <w:pStyle w:val="TableofContentscontinued"/>
        <w:rPr>
          <w:i/>
        </w:rPr>
      </w:pPr>
      <w:r>
        <w:t xml:space="preserve">Table of contents </w:t>
      </w:r>
      <w:r>
        <w:rPr>
          <w:i/>
        </w:rPr>
        <w:t>(continued)</w:t>
      </w:r>
      <w:r>
        <w:rPr>
          <w:i/>
        </w:rPr>
        <w:br/>
      </w:r>
    </w:p>
    <w:p w:rsidR="00F60B5F" w:rsidRDefault="005B6C02">
      <w:pPr>
        <w:pStyle w:val="TOC1"/>
        <w:rPr>
          <w:rFonts w:asciiTheme="minorHAnsi" w:eastAsiaTheme="minorEastAsia" w:hAnsiTheme="minorHAnsi" w:cstheme="minorBidi"/>
          <w:b w:val="0"/>
          <w:noProof/>
          <w:sz w:val="22"/>
          <w:szCs w:val="22"/>
          <w:lang w:eastAsia="en-AU"/>
        </w:rPr>
      </w:pPr>
      <w:hyperlink w:anchor="_Toc374373972" w:history="1">
        <w:r w:rsidR="00F60B5F" w:rsidRPr="00D0664D">
          <w:rPr>
            <w:rStyle w:val="Hyperlink"/>
            <w:noProof/>
          </w:rPr>
          <w:t>Appendix B – Amendments to the 2013</w:t>
        </w:r>
        <w:r w:rsidR="00F60B5F">
          <w:rPr>
            <w:rStyle w:val="Hyperlink"/>
            <w:noProof/>
          </w:rPr>
          <w:noBreakHyphen/>
        </w:r>
        <w:r w:rsidR="00F60B5F" w:rsidRPr="00D0664D">
          <w:rPr>
            <w:rStyle w:val="Hyperlink"/>
            <w:noProof/>
          </w:rPr>
          <w:t>14 output performance measures</w:t>
        </w:r>
        <w:r w:rsidR="00F60B5F">
          <w:rPr>
            <w:noProof/>
            <w:webHidden/>
          </w:rPr>
          <w:tab/>
        </w:r>
        <w:r w:rsidR="00F60B5F">
          <w:rPr>
            <w:noProof/>
            <w:webHidden/>
          </w:rPr>
          <w:fldChar w:fldCharType="begin"/>
        </w:r>
        <w:r w:rsidR="00F60B5F">
          <w:rPr>
            <w:noProof/>
            <w:webHidden/>
          </w:rPr>
          <w:instrText xml:space="preserve"> PAGEREF _Toc374373972 \h </w:instrText>
        </w:r>
        <w:r w:rsidR="00F60B5F">
          <w:rPr>
            <w:noProof/>
            <w:webHidden/>
          </w:rPr>
        </w:r>
        <w:r w:rsidR="00F60B5F">
          <w:rPr>
            <w:noProof/>
            <w:webHidden/>
          </w:rPr>
          <w:fldChar w:fldCharType="separate"/>
        </w:r>
        <w:r w:rsidR="001C5190">
          <w:rPr>
            <w:noProof/>
            <w:webHidden/>
          </w:rPr>
          <w:t>137</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73" w:history="1">
        <w:r w:rsidR="00F60B5F" w:rsidRPr="00D0664D">
          <w:rPr>
            <w:rStyle w:val="Hyperlink"/>
            <w:noProof/>
          </w:rPr>
          <w:t>Department of Environment and Primary Industries</w:t>
        </w:r>
        <w:r w:rsidR="00F60B5F">
          <w:rPr>
            <w:noProof/>
            <w:webHidden/>
          </w:rPr>
          <w:tab/>
        </w:r>
        <w:r w:rsidR="00F60B5F">
          <w:rPr>
            <w:noProof/>
            <w:webHidden/>
          </w:rPr>
          <w:fldChar w:fldCharType="begin"/>
        </w:r>
        <w:r w:rsidR="00F60B5F">
          <w:rPr>
            <w:noProof/>
            <w:webHidden/>
          </w:rPr>
          <w:instrText xml:space="preserve"> PAGEREF _Toc374373973 \h </w:instrText>
        </w:r>
        <w:r w:rsidR="00F60B5F">
          <w:rPr>
            <w:noProof/>
            <w:webHidden/>
          </w:rPr>
        </w:r>
        <w:r w:rsidR="00F60B5F">
          <w:rPr>
            <w:noProof/>
            <w:webHidden/>
          </w:rPr>
          <w:fldChar w:fldCharType="separate"/>
        </w:r>
        <w:r w:rsidR="001C5190">
          <w:rPr>
            <w:noProof/>
            <w:webHidden/>
          </w:rPr>
          <w:t>137</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74" w:history="1">
        <w:r w:rsidR="00F60B5F" w:rsidRPr="00D0664D">
          <w:rPr>
            <w:rStyle w:val="Hyperlink"/>
            <w:noProof/>
          </w:rPr>
          <w:t>Appendix C – Tax expenditures and concessions</w:t>
        </w:r>
        <w:r w:rsidR="00F60B5F">
          <w:rPr>
            <w:noProof/>
            <w:webHidden/>
          </w:rPr>
          <w:tab/>
        </w:r>
        <w:r w:rsidR="00F60B5F">
          <w:rPr>
            <w:noProof/>
            <w:webHidden/>
          </w:rPr>
          <w:fldChar w:fldCharType="begin"/>
        </w:r>
        <w:r w:rsidR="00F60B5F">
          <w:rPr>
            <w:noProof/>
            <w:webHidden/>
          </w:rPr>
          <w:instrText xml:space="preserve"> PAGEREF _Toc374373974 \h </w:instrText>
        </w:r>
        <w:r w:rsidR="00F60B5F">
          <w:rPr>
            <w:noProof/>
            <w:webHidden/>
          </w:rPr>
        </w:r>
        <w:r w:rsidR="00F60B5F">
          <w:rPr>
            <w:noProof/>
            <w:webHidden/>
          </w:rPr>
          <w:fldChar w:fldCharType="separate"/>
        </w:r>
        <w:r w:rsidR="001C5190">
          <w:rPr>
            <w:noProof/>
            <w:webHidden/>
          </w:rPr>
          <w:t>139</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75" w:history="1">
        <w:r w:rsidR="00F60B5F" w:rsidRPr="00D0664D">
          <w:rPr>
            <w:rStyle w:val="Hyperlink"/>
            <w:noProof/>
          </w:rPr>
          <w:t>Tax expenditures</w:t>
        </w:r>
        <w:r w:rsidR="00F60B5F">
          <w:rPr>
            <w:noProof/>
            <w:webHidden/>
          </w:rPr>
          <w:tab/>
        </w:r>
        <w:r w:rsidR="00F60B5F">
          <w:rPr>
            <w:noProof/>
            <w:webHidden/>
          </w:rPr>
          <w:fldChar w:fldCharType="begin"/>
        </w:r>
        <w:r w:rsidR="00F60B5F">
          <w:rPr>
            <w:noProof/>
            <w:webHidden/>
          </w:rPr>
          <w:instrText xml:space="preserve"> PAGEREF _Toc374373975 \h </w:instrText>
        </w:r>
        <w:r w:rsidR="00F60B5F">
          <w:rPr>
            <w:noProof/>
            <w:webHidden/>
          </w:rPr>
        </w:r>
        <w:r w:rsidR="00F60B5F">
          <w:rPr>
            <w:noProof/>
            <w:webHidden/>
          </w:rPr>
          <w:fldChar w:fldCharType="separate"/>
        </w:r>
        <w:r w:rsidR="001C5190">
          <w:rPr>
            <w:noProof/>
            <w:webHidden/>
          </w:rPr>
          <w:t>139</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76" w:history="1">
        <w:r w:rsidR="00F60B5F" w:rsidRPr="00D0664D">
          <w:rPr>
            <w:rStyle w:val="Hyperlink"/>
            <w:noProof/>
          </w:rPr>
          <w:t>Concessions</w:t>
        </w:r>
        <w:r w:rsidR="00F60B5F">
          <w:rPr>
            <w:noProof/>
            <w:webHidden/>
          </w:rPr>
          <w:tab/>
        </w:r>
        <w:r w:rsidR="00F60B5F">
          <w:rPr>
            <w:noProof/>
            <w:webHidden/>
          </w:rPr>
          <w:fldChar w:fldCharType="begin"/>
        </w:r>
        <w:r w:rsidR="00F60B5F">
          <w:rPr>
            <w:noProof/>
            <w:webHidden/>
          </w:rPr>
          <w:instrText xml:space="preserve"> PAGEREF _Toc374373976 \h </w:instrText>
        </w:r>
        <w:r w:rsidR="00F60B5F">
          <w:rPr>
            <w:noProof/>
            <w:webHidden/>
          </w:rPr>
        </w:r>
        <w:r w:rsidR="00F60B5F">
          <w:rPr>
            <w:noProof/>
            <w:webHidden/>
          </w:rPr>
          <w:fldChar w:fldCharType="separate"/>
        </w:r>
        <w:r w:rsidR="001C5190">
          <w:rPr>
            <w:noProof/>
            <w:webHidden/>
          </w:rPr>
          <w:t>140</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77" w:history="1">
        <w:r w:rsidR="00F60B5F" w:rsidRPr="00D0664D">
          <w:rPr>
            <w:rStyle w:val="Hyperlink"/>
            <w:noProof/>
          </w:rPr>
          <w:t>Appendix D – Sensitivity analysis</w:t>
        </w:r>
        <w:r w:rsidR="00F60B5F">
          <w:rPr>
            <w:noProof/>
            <w:webHidden/>
          </w:rPr>
          <w:tab/>
        </w:r>
        <w:r w:rsidR="00F60B5F">
          <w:rPr>
            <w:noProof/>
            <w:webHidden/>
          </w:rPr>
          <w:fldChar w:fldCharType="begin"/>
        </w:r>
        <w:r w:rsidR="00F60B5F">
          <w:rPr>
            <w:noProof/>
            <w:webHidden/>
          </w:rPr>
          <w:instrText xml:space="preserve"> PAGEREF _Toc374373977 \h </w:instrText>
        </w:r>
        <w:r w:rsidR="00F60B5F">
          <w:rPr>
            <w:noProof/>
            <w:webHidden/>
          </w:rPr>
        </w:r>
        <w:r w:rsidR="00F60B5F">
          <w:rPr>
            <w:noProof/>
            <w:webHidden/>
          </w:rPr>
          <w:fldChar w:fldCharType="separate"/>
        </w:r>
        <w:r w:rsidR="001C5190">
          <w:rPr>
            <w:noProof/>
            <w:webHidden/>
          </w:rPr>
          <w:t>141</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78" w:history="1">
        <w:r w:rsidR="00F60B5F" w:rsidRPr="00D0664D">
          <w:rPr>
            <w:rStyle w:val="Hyperlink"/>
            <w:noProof/>
          </w:rPr>
          <w:t>Sensitivity to independent variations in major economic parameters</w:t>
        </w:r>
        <w:r w:rsidR="00F60B5F">
          <w:rPr>
            <w:noProof/>
            <w:webHidden/>
          </w:rPr>
          <w:tab/>
        </w:r>
        <w:r w:rsidR="00F60B5F">
          <w:rPr>
            <w:noProof/>
            <w:webHidden/>
          </w:rPr>
          <w:fldChar w:fldCharType="begin"/>
        </w:r>
        <w:r w:rsidR="00F60B5F">
          <w:rPr>
            <w:noProof/>
            <w:webHidden/>
          </w:rPr>
          <w:instrText xml:space="preserve"> PAGEREF _Toc374373978 \h </w:instrText>
        </w:r>
        <w:r w:rsidR="00F60B5F">
          <w:rPr>
            <w:noProof/>
            <w:webHidden/>
          </w:rPr>
        </w:r>
        <w:r w:rsidR="00F60B5F">
          <w:rPr>
            <w:noProof/>
            <w:webHidden/>
          </w:rPr>
          <w:fldChar w:fldCharType="separate"/>
        </w:r>
        <w:r w:rsidR="001C5190">
          <w:rPr>
            <w:noProof/>
            <w:webHidden/>
          </w:rPr>
          <w:t>141</w:t>
        </w:r>
        <w:r w:rsidR="00F60B5F">
          <w:rPr>
            <w:noProof/>
            <w:webHidden/>
          </w:rPr>
          <w:fldChar w:fldCharType="end"/>
        </w:r>
      </w:hyperlink>
    </w:p>
    <w:p w:rsidR="00F60B5F" w:rsidRDefault="005B6C02">
      <w:pPr>
        <w:pStyle w:val="TOC2"/>
        <w:rPr>
          <w:rFonts w:asciiTheme="minorHAnsi" w:eastAsiaTheme="minorEastAsia" w:hAnsiTheme="minorHAnsi" w:cstheme="minorBidi"/>
          <w:noProof/>
          <w:sz w:val="22"/>
          <w:szCs w:val="22"/>
          <w:lang w:eastAsia="en-AU"/>
        </w:rPr>
      </w:pPr>
      <w:hyperlink w:anchor="_Toc374373979" w:history="1">
        <w:r w:rsidR="00F60B5F" w:rsidRPr="00D0664D">
          <w:rPr>
            <w:rStyle w:val="Hyperlink"/>
            <w:noProof/>
          </w:rPr>
          <w:t>Sensitivity to variations in the economic outlook</w:t>
        </w:r>
        <w:r w:rsidR="00F60B5F">
          <w:rPr>
            <w:noProof/>
            <w:webHidden/>
          </w:rPr>
          <w:tab/>
        </w:r>
        <w:r w:rsidR="00F60B5F">
          <w:rPr>
            <w:noProof/>
            <w:webHidden/>
          </w:rPr>
          <w:fldChar w:fldCharType="begin"/>
        </w:r>
        <w:r w:rsidR="00F60B5F">
          <w:rPr>
            <w:noProof/>
            <w:webHidden/>
          </w:rPr>
          <w:instrText xml:space="preserve"> PAGEREF _Toc374373979 \h </w:instrText>
        </w:r>
        <w:r w:rsidR="00F60B5F">
          <w:rPr>
            <w:noProof/>
            <w:webHidden/>
          </w:rPr>
        </w:r>
        <w:r w:rsidR="00F60B5F">
          <w:rPr>
            <w:noProof/>
            <w:webHidden/>
          </w:rPr>
          <w:fldChar w:fldCharType="separate"/>
        </w:r>
        <w:r w:rsidR="001C5190">
          <w:rPr>
            <w:noProof/>
            <w:webHidden/>
          </w:rPr>
          <w:t>145</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80" w:history="1">
        <w:r w:rsidR="00F60B5F" w:rsidRPr="00D0664D">
          <w:rPr>
            <w:rStyle w:val="Hyperlink"/>
            <w:noProof/>
          </w:rPr>
          <w:t xml:space="preserve">Appendix E – Requirements of the </w:t>
        </w:r>
        <w:r w:rsidR="00F60B5F" w:rsidRPr="00D0664D">
          <w:rPr>
            <w:rStyle w:val="Hyperlink"/>
            <w:i/>
            <w:noProof/>
          </w:rPr>
          <w:t>Financial Management Act 1994</w:t>
        </w:r>
        <w:r w:rsidR="00F60B5F">
          <w:rPr>
            <w:noProof/>
            <w:webHidden/>
          </w:rPr>
          <w:tab/>
        </w:r>
        <w:r w:rsidR="00F60B5F">
          <w:rPr>
            <w:noProof/>
            <w:webHidden/>
          </w:rPr>
          <w:fldChar w:fldCharType="begin"/>
        </w:r>
        <w:r w:rsidR="00F60B5F">
          <w:rPr>
            <w:noProof/>
            <w:webHidden/>
          </w:rPr>
          <w:instrText xml:space="preserve"> PAGEREF _Toc374373980 \h </w:instrText>
        </w:r>
        <w:r w:rsidR="00F60B5F">
          <w:rPr>
            <w:noProof/>
            <w:webHidden/>
          </w:rPr>
        </w:r>
        <w:r w:rsidR="00F60B5F">
          <w:rPr>
            <w:noProof/>
            <w:webHidden/>
          </w:rPr>
          <w:fldChar w:fldCharType="separate"/>
        </w:r>
        <w:r w:rsidR="001C5190">
          <w:rPr>
            <w:noProof/>
            <w:webHidden/>
          </w:rPr>
          <w:t>149</w:t>
        </w:r>
        <w:r w:rsidR="00F60B5F">
          <w:rPr>
            <w:noProof/>
            <w:webHidden/>
          </w:rPr>
          <w:fldChar w:fldCharType="end"/>
        </w:r>
      </w:hyperlink>
    </w:p>
    <w:p w:rsidR="00F60B5F" w:rsidRDefault="005B6C02">
      <w:pPr>
        <w:pStyle w:val="TOC1"/>
        <w:rPr>
          <w:rFonts w:asciiTheme="minorHAnsi" w:eastAsiaTheme="minorEastAsia" w:hAnsiTheme="minorHAnsi" w:cstheme="minorBidi"/>
          <w:b w:val="0"/>
          <w:noProof/>
          <w:sz w:val="22"/>
          <w:szCs w:val="22"/>
          <w:lang w:eastAsia="en-AU"/>
        </w:rPr>
      </w:pPr>
      <w:hyperlink w:anchor="_Toc374373981" w:history="1">
        <w:r w:rsidR="00F60B5F" w:rsidRPr="00D0664D">
          <w:rPr>
            <w:rStyle w:val="Hyperlink"/>
            <w:noProof/>
          </w:rPr>
          <w:t>Style conventions</w:t>
        </w:r>
        <w:r w:rsidR="00F60B5F">
          <w:rPr>
            <w:noProof/>
            <w:webHidden/>
          </w:rPr>
          <w:tab/>
        </w:r>
        <w:r w:rsidR="00F60B5F">
          <w:rPr>
            <w:noProof/>
            <w:webHidden/>
          </w:rPr>
          <w:fldChar w:fldCharType="begin"/>
        </w:r>
        <w:r w:rsidR="00F60B5F">
          <w:rPr>
            <w:noProof/>
            <w:webHidden/>
          </w:rPr>
          <w:instrText xml:space="preserve"> PAGEREF _Toc374373981 \h </w:instrText>
        </w:r>
        <w:r w:rsidR="00F60B5F">
          <w:rPr>
            <w:noProof/>
            <w:webHidden/>
          </w:rPr>
        </w:r>
        <w:r w:rsidR="00F60B5F">
          <w:rPr>
            <w:noProof/>
            <w:webHidden/>
          </w:rPr>
          <w:fldChar w:fldCharType="separate"/>
        </w:r>
        <w:r w:rsidR="001C5190">
          <w:rPr>
            <w:noProof/>
            <w:webHidden/>
          </w:rPr>
          <w:t>151</w:t>
        </w:r>
        <w:r w:rsidR="00F60B5F">
          <w:rPr>
            <w:noProof/>
            <w:webHidden/>
          </w:rPr>
          <w:fldChar w:fldCharType="end"/>
        </w:r>
      </w:hyperlink>
    </w:p>
    <w:p w:rsidR="00F60B5F" w:rsidRDefault="00F60B5F" w:rsidP="00497D35">
      <w:r w:rsidRPr="00DF427C">
        <w:fldChar w:fldCharType="end"/>
      </w:r>
    </w:p>
    <w:p w:rsidR="00F60B5F" w:rsidRDefault="00F60B5F" w:rsidP="003400C3"/>
    <w:p w:rsidR="00F60B5F" w:rsidRDefault="00F60B5F" w:rsidP="006C00BC"/>
    <w:p w:rsidR="00F60B5F" w:rsidRDefault="00F60B5F" w:rsidP="003400C3">
      <w:pPr>
        <w:sectPr w:rsidR="00F60B5F" w:rsidSect="003400C3">
          <w:footerReference w:type="even" r:id="rId12"/>
          <w:footerReference w:type="default" r:id="rId13"/>
          <w:type w:val="oddPage"/>
          <w:pgSz w:w="9979" w:h="14181" w:code="138"/>
          <w:pgMar w:top="1138" w:right="1138" w:bottom="1138" w:left="1138" w:header="720" w:footer="720" w:gutter="0"/>
          <w:pgNumType w:fmt="lowerRoman" w:start="1"/>
          <w:cols w:space="708"/>
          <w:docGrid w:linePitch="360"/>
        </w:sectPr>
      </w:pPr>
    </w:p>
    <w:p w:rsidR="00F60B5F" w:rsidRDefault="00F60B5F" w:rsidP="00C072F9">
      <w:pPr>
        <w:pStyle w:val="ChapterHeading"/>
      </w:pPr>
      <w:bookmarkStart w:id="1" w:name="_Toc355372015"/>
      <w:bookmarkStart w:id="2" w:name="_Toc374373941"/>
      <w:r>
        <w:t xml:space="preserve">Chapter 1 – </w:t>
      </w:r>
      <w:bookmarkEnd w:id="1"/>
      <w:r>
        <w:t>Economic and fiscal overview</w:t>
      </w:r>
      <w:bookmarkEnd w:id="2"/>
    </w:p>
    <w:p w:rsidR="00F60B5F" w:rsidRDefault="00F60B5F" w:rsidP="0007613A">
      <w:r>
        <w:t>S</w:t>
      </w:r>
      <w:r w:rsidRPr="00F72125">
        <w:t xml:space="preserve">ustainable </w:t>
      </w:r>
      <w:r>
        <w:t>g</w:t>
      </w:r>
      <w:r w:rsidRPr="00F72125">
        <w:t>overnment finances are vital for Victoria’s ongoing prosperity</w:t>
      </w:r>
      <w:r>
        <w:t xml:space="preserve"> and the future of our State. They underpin the State’s infrastructure investment and high quality frontline service delivery</w:t>
      </w:r>
      <w:r w:rsidRPr="00F72125">
        <w:t>.</w:t>
      </w:r>
      <w:r>
        <w:t xml:space="preserve"> They also send a clear message that Victoria is a safe and attractive place to live, invest and do business.</w:t>
      </w:r>
    </w:p>
    <w:p w:rsidR="00F60B5F" w:rsidRPr="00F72125" w:rsidRDefault="00F60B5F" w:rsidP="0007613A">
      <w:r w:rsidRPr="00F72125">
        <w:t xml:space="preserve">Over the past </w:t>
      </w:r>
      <w:r>
        <w:t>three</w:t>
      </w:r>
      <w:r w:rsidRPr="00F72125">
        <w:t xml:space="preserve"> years, the Government has restore</w:t>
      </w:r>
      <w:r>
        <w:t>d</w:t>
      </w:r>
      <w:r w:rsidRPr="00F72125">
        <w:t xml:space="preserve"> sound management to Victoria’s finances</w:t>
      </w:r>
      <w:r>
        <w:t xml:space="preserve">, which are now </w:t>
      </w:r>
      <w:r w:rsidRPr="00F72125">
        <w:t>the strongest in Australia. Victoria is the only Australian state forecasting budget sur</w:t>
      </w:r>
      <w:r>
        <w:t>pluses over the next four years</w:t>
      </w:r>
      <w:r w:rsidRPr="00F72125">
        <w:t xml:space="preserve"> and the only state to hold a triple</w:t>
      </w:r>
      <w:r>
        <w:noBreakHyphen/>
      </w:r>
      <w:r w:rsidRPr="00F72125">
        <w:t>A credit rating with a stable outlook from both major international credit rating agencies.</w:t>
      </w:r>
      <w:r>
        <w:t xml:space="preserve"> The triple</w:t>
      </w:r>
      <w:r>
        <w:noBreakHyphen/>
        <w:t>A credit rating reduces the State’s interest bills, leaving more funds for infrastructure and frontline services.</w:t>
      </w:r>
    </w:p>
    <w:p w:rsidR="00F60B5F" w:rsidRDefault="00F60B5F" w:rsidP="00A52827">
      <w:pPr>
        <w:rPr>
          <w:rFonts w:cs="Garamond"/>
          <w:color w:val="000000"/>
          <w:szCs w:val="22"/>
          <w:lang w:eastAsia="en-AU"/>
        </w:rPr>
      </w:pPr>
      <w:r>
        <w:t>Government infrastructure investment is projected to be $</w:t>
      </w:r>
      <w:r w:rsidRPr="002A6FF6">
        <w:t>5.8</w:t>
      </w:r>
      <w:r>
        <w:t> billion in 2013</w:t>
      </w:r>
      <w:r>
        <w:noBreakHyphen/>
        <w:t>14, averaging $</w:t>
      </w:r>
      <w:r w:rsidRPr="002A6FF6">
        <w:t>5.0</w:t>
      </w:r>
      <w:r>
        <w:t xml:space="preserve"> billion a year over the forward estimates period, in line with the Government’s infrastructure investment parameter. This includes investment in economic infrastructure that will enhance Victoria’s future competitiveness as well as other infrastructure </w:t>
      </w:r>
      <w:r w:rsidRPr="00F72125">
        <w:t>required to keep pace with population growth and</w:t>
      </w:r>
      <w:r>
        <w:t xml:space="preserve"> </w:t>
      </w:r>
      <w:r w:rsidRPr="00F72125">
        <w:t>maintain</w:t>
      </w:r>
      <w:r>
        <w:t xml:space="preserve"> Victoria’s liveability.</w:t>
      </w:r>
    </w:p>
    <w:p w:rsidR="00F60B5F" w:rsidRDefault="00F60B5F" w:rsidP="00A52827">
      <w:r>
        <w:rPr>
          <w:rFonts w:cs="Garamond"/>
          <w:color w:val="000000"/>
          <w:szCs w:val="22"/>
          <w:lang w:eastAsia="en-AU"/>
        </w:rPr>
        <w:t xml:space="preserve">To achieve the best possible outcomes for Victorians in core service delivery areas, the Government has committed to deliver significant service and funding reforms through the National Disability Insurance Scheme (NDIS) and the Better Schools Plan. More than 100 000 eligible Victorians with a disability are scheduled to receive support through the NDIS by July 2019. Victoria’s educational reform agenda provides a foundation for giving every single student the best possible learning experience, and fostering real improvements for every student in every classroom. The Government has an agreement with the Commonwealth which seeks to provide $12.2 billion of additional funding to Victorian schools. The Government </w:t>
      </w:r>
      <w:r w:rsidRPr="00EC7936">
        <w:rPr>
          <w:lang w:eastAsia="en-AU"/>
        </w:rPr>
        <w:t>will work with the Commonwealth to confirm funding arrangements that ensure schools have the funding they need to support this reform agenda.</w:t>
      </w:r>
    </w:p>
    <w:p w:rsidR="00F60B5F" w:rsidRDefault="00F60B5F" w:rsidP="00C42F36">
      <w:r>
        <w:t>The Government’s economic strategy builds on Victoria’s diverse industry base, skilled workforce and competitive business environment, positioning the State to capitalise on new opportunities emerging from the post</w:t>
      </w:r>
      <w:r>
        <w:noBreakHyphen/>
        <w:t xml:space="preserve">mining boom phase of economic growth. With close links </w:t>
      </w:r>
      <w:r w:rsidRPr="00F72125">
        <w:t>to Asia</w:t>
      </w:r>
      <w:r>
        <w:t xml:space="preserve">, Victoria is ideally placed to meet </w:t>
      </w:r>
      <w:r w:rsidRPr="00F72125">
        <w:t xml:space="preserve">growing </w:t>
      </w:r>
      <w:r>
        <w:t xml:space="preserve">Asian demand for business and knowledge services, food and </w:t>
      </w:r>
      <w:r w:rsidRPr="00F72125">
        <w:t>agricultural products</w:t>
      </w:r>
      <w:r>
        <w:t xml:space="preserve">, </w:t>
      </w:r>
      <w:r w:rsidRPr="00F72125">
        <w:t>education</w:t>
      </w:r>
      <w:r>
        <w:t xml:space="preserve"> and </w:t>
      </w:r>
      <w:r w:rsidRPr="00F72125">
        <w:t>tourism</w:t>
      </w:r>
      <w:r>
        <w:t>.</w:t>
      </w:r>
    </w:p>
    <w:p w:rsidR="00F60B5F" w:rsidRDefault="00F60B5F" w:rsidP="00987491">
      <w:r>
        <w:t>Victoria’s</w:t>
      </w:r>
      <w:r w:rsidRPr="00A64FAB">
        <w:t xml:space="preserve"> real gross state product is expected to strengthen in 2013</w:t>
      </w:r>
      <w:r>
        <w:noBreakHyphen/>
      </w:r>
      <w:r w:rsidRPr="00A64FAB">
        <w:t>14 rela</w:t>
      </w:r>
      <w:r>
        <w:t>tive to 2012</w:t>
      </w:r>
      <w:r>
        <w:noBreakHyphen/>
        <w:t>13, growing by 2 per cent</w:t>
      </w:r>
      <w:r w:rsidRPr="00A64FAB">
        <w:t>. Victoria’s highly diversified economy delivers less volatile growth than other states that are highly exposed to only a few sectors. Trend growth of 2.75</w:t>
      </w:r>
      <w:r>
        <w:t> per cent</w:t>
      </w:r>
      <w:r w:rsidRPr="00A64FAB">
        <w:t xml:space="preserve"> is projected over the forward estimates period</w:t>
      </w:r>
      <w:r>
        <w:t xml:space="preserve">. </w:t>
      </w:r>
    </w:p>
    <w:p w:rsidR="00F60B5F" w:rsidRPr="003D62CE" w:rsidRDefault="00F60B5F" w:rsidP="0007613A">
      <w:r>
        <w:t xml:space="preserve">Since the </w:t>
      </w:r>
      <w:r w:rsidRPr="00D90A4C">
        <w:rPr>
          <w:i/>
        </w:rPr>
        <w:t>2013</w:t>
      </w:r>
      <w:r>
        <w:rPr>
          <w:i/>
        </w:rPr>
        <w:noBreakHyphen/>
      </w:r>
      <w:r w:rsidRPr="00D90A4C">
        <w:rPr>
          <w:i/>
        </w:rPr>
        <w:t>14</w:t>
      </w:r>
      <w:r>
        <w:t xml:space="preserve"> </w:t>
      </w:r>
      <w:r>
        <w:rPr>
          <w:i/>
        </w:rPr>
        <w:t>Budget</w:t>
      </w:r>
      <w:r>
        <w:t>, State finances have come under further pressure. Stronger than expected land transfer duty and GST revenue, and a lower non</w:t>
      </w:r>
      <w:r>
        <w:noBreakHyphen/>
        <w:t xml:space="preserve">cash superannuation expense, is more than offset by lower growth across other components of the tax base (including gambling and payroll taxes). In response, the Government is undertaking moderate revenue and efficiency measures. This will enable the Government to keep investing in infrastructure and services while ensuring net debt remains broadly at the levels published in the </w:t>
      </w:r>
      <w:r w:rsidRPr="00F72125">
        <w:rPr>
          <w:i/>
        </w:rPr>
        <w:t>2013</w:t>
      </w:r>
      <w:r>
        <w:rPr>
          <w:i/>
        </w:rPr>
        <w:noBreakHyphen/>
        <w:t>14 </w:t>
      </w:r>
      <w:r w:rsidRPr="00F72125">
        <w:rPr>
          <w:i/>
        </w:rPr>
        <w:t>Budget</w:t>
      </w:r>
      <w:r>
        <w:t xml:space="preserve">. These measures build on previous initiatives to deliver efficiencies and better services. Measures implemented since the </w:t>
      </w:r>
      <w:r w:rsidRPr="0066784A">
        <w:rPr>
          <w:i/>
        </w:rPr>
        <w:t>2013</w:t>
      </w:r>
      <w:r>
        <w:rPr>
          <w:i/>
        </w:rPr>
        <w:noBreakHyphen/>
      </w:r>
      <w:r w:rsidRPr="0066784A">
        <w:rPr>
          <w:i/>
        </w:rPr>
        <w:t>14 Budget</w:t>
      </w:r>
      <w:r>
        <w:t xml:space="preserve"> are detailed in Appendix A, </w:t>
      </w:r>
      <w:r>
        <w:rPr>
          <w:i/>
        </w:rPr>
        <w:t>Specific policy initiatives affecting budget position</w:t>
      </w:r>
      <w:r>
        <w:t>.</w:t>
      </w:r>
    </w:p>
    <w:p w:rsidR="00F60B5F" w:rsidRPr="00C84878" w:rsidRDefault="00F60B5F" w:rsidP="0007613A">
      <w:r>
        <w:t>Prudent financial management in an environment of a growing population and increasing demand for public services requires a continued commitment to carefully managing expenditure growth and improving public sector productivity. This will ensure the Government continues to deliver the strong operating surpluses needed to continue investing in infrastructure and fund services while prudently and responsibly managing net debt.</w:t>
      </w:r>
    </w:p>
    <w:p w:rsidR="00F60B5F" w:rsidRPr="00F72125" w:rsidRDefault="00F60B5F" w:rsidP="001E6B7F">
      <w:pPr>
        <w:pStyle w:val="Heading1"/>
      </w:pPr>
      <w:bookmarkStart w:id="3" w:name="_Toc374373942"/>
      <w:r>
        <w:t>Economic outlook</w:t>
      </w:r>
      <w:bookmarkEnd w:id="3"/>
    </w:p>
    <w:p w:rsidR="00F60B5F" w:rsidRDefault="00F60B5F" w:rsidP="00084041">
      <w:r>
        <w:t xml:space="preserve">Victoria’s attractiveness as a residential and business location is confirmed by its strong population growth and performance against a number of economic indicators. </w:t>
      </w:r>
      <w:r w:rsidRPr="00F72125">
        <w:t>The economy remains</w:t>
      </w:r>
      <w:r>
        <w:t xml:space="preserve"> sound, despite a national slow</w:t>
      </w:r>
      <w:r w:rsidRPr="00F72125">
        <w:t xml:space="preserve">down following </w:t>
      </w:r>
      <w:r>
        <w:t>the end of the mining investment boom</w:t>
      </w:r>
      <w:r w:rsidRPr="00F72125">
        <w:t xml:space="preserve"> and a high,</w:t>
      </w:r>
      <w:r>
        <w:t xml:space="preserve"> </w:t>
      </w:r>
      <w:r w:rsidRPr="007C4CCB">
        <w:t>although moderating</w:t>
      </w:r>
      <w:r>
        <w:t>,</w:t>
      </w:r>
      <w:r w:rsidRPr="00F72125">
        <w:t xml:space="preserve"> Australian dollar.</w:t>
      </w:r>
      <w:r>
        <w:t xml:space="preserve"> </w:t>
      </w:r>
    </w:p>
    <w:p w:rsidR="00F60B5F" w:rsidRDefault="00F60B5F" w:rsidP="0005599C">
      <w:r>
        <w:t xml:space="preserve">While </w:t>
      </w:r>
      <w:r w:rsidRPr="00811C86">
        <w:t xml:space="preserve">Victorian household consumption is expected to </w:t>
      </w:r>
      <w:r>
        <w:t xml:space="preserve">be subdued </w:t>
      </w:r>
      <w:r w:rsidRPr="00811C86">
        <w:t>in 2013</w:t>
      </w:r>
      <w:r>
        <w:noBreakHyphen/>
      </w:r>
      <w:r w:rsidRPr="00811C86">
        <w:t>14</w:t>
      </w:r>
      <w:r>
        <w:t>, t</w:t>
      </w:r>
      <w:r w:rsidRPr="0091116F">
        <w:t xml:space="preserve">he property market </w:t>
      </w:r>
      <w:r>
        <w:t xml:space="preserve">has been </w:t>
      </w:r>
      <w:r w:rsidRPr="0091116F">
        <w:t>improving</w:t>
      </w:r>
      <w:r>
        <w:t xml:space="preserve"> </w:t>
      </w:r>
      <w:r w:rsidRPr="0091116F">
        <w:t xml:space="preserve">with </w:t>
      </w:r>
      <w:r>
        <w:t xml:space="preserve">Melbourne house </w:t>
      </w:r>
      <w:r w:rsidRPr="001130A5">
        <w:t>prices</w:t>
      </w:r>
      <w:r>
        <w:t xml:space="preserve"> recovering throughout 2013 and </w:t>
      </w:r>
      <w:r w:rsidRPr="0091116F">
        <w:t xml:space="preserve">auction activity </w:t>
      </w:r>
      <w:r>
        <w:t>and</w:t>
      </w:r>
      <w:r w:rsidRPr="0091116F">
        <w:t xml:space="preserve"> clearance rates</w:t>
      </w:r>
      <w:r>
        <w:t xml:space="preserve"> remaining solid. L</w:t>
      </w:r>
      <w:r w:rsidRPr="0091116F">
        <w:t xml:space="preserve">ow interest rates </w:t>
      </w:r>
      <w:r>
        <w:t>and positive consumer sentiment are expected to continue this recovery in the near term.</w:t>
      </w:r>
    </w:p>
    <w:p w:rsidR="00F60B5F" w:rsidRDefault="00F60B5F" w:rsidP="00084041">
      <w:r w:rsidRPr="002E4B68">
        <w:t xml:space="preserve">Victorian employment </w:t>
      </w:r>
      <w:r>
        <w:t xml:space="preserve">is expected to grow moderately over the next two years, before returning to trend </w:t>
      </w:r>
      <w:r w:rsidRPr="007C4CCB">
        <w:t xml:space="preserve">growth of around </w:t>
      </w:r>
      <w:r>
        <w:t>1.75 per cent in 2015</w:t>
      </w:r>
      <w:r>
        <w:noBreakHyphen/>
        <w:t xml:space="preserve">16. </w:t>
      </w:r>
      <w:r w:rsidRPr="004C5186">
        <w:t>Victoria’s labour participation rate is the highest among the non</w:t>
      </w:r>
      <w:r>
        <w:noBreakHyphen/>
      </w:r>
      <w:r w:rsidRPr="004C5186">
        <w:t>mining states</w:t>
      </w:r>
      <w:r>
        <w:t xml:space="preserve"> and the</w:t>
      </w:r>
      <w:r w:rsidRPr="006775A3">
        <w:t xml:space="preserve"> unemployment rate remains low relative to historical levels</w:t>
      </w:r>
      <w:r>
        <w:t>.</w:t>
      </w:r>
    </w:p>
    <w:p w:rsidR="00F60B5F" w:rsidRDefault="00F60B5F" w:rsidP="00084041">
      <w:r>
        <w:t>Population growth in Victoria has accelerated since the middle of 2011, supported by higher birth rates and greater migration. For example, births in Victoria rose by 4.9 per cent in 2012, more than double the growth for Australia of 2.2 per cent.</w:t>
      </w:r>
    </w:p>
    <w:p w:rsidR="00F60B5F" w:rsidRDefault="00F60B5F" w:rsidP="00C42F36">
      <w:r w:rsidRPr="00904A7D">
        <w:t>In the March quarter of 2013, Victoria recorded its largest quarterly</w:t>
      </w:r>
      <w:r>
        <w:t xml:space="preserve"> net</w:t>
      </w:r>
      <w:r w:rsidRPr="00904A7D">
        <w:t xml:space="preserve"> interstate migration gain since March 2002. The State’s population gain and net overseas migration intake were the highest of all the Australian states for </w:t>
      </w:r>
      <w:r>
        <w:t>the March quarter of 2013</w:t>
      </w:r>
      <w:r w:rsidRPr="00904A7D">
        <w:t>.</w:t>
      </w:r>
      <w:r>
        <w:t xml:space="preserve"> </w:t>
      </w:r>
      <w:r w:rsidRPr="00987491">
        <w:t>In the five years to June 2012, Greater Melbourne h</w:t>
      </w:r>
      <w:r>
        <w:t>ad the largest population gain</w:t>
      </w:r>
      <w:r w:rsidRPr="00987491">
        <w:t xml:space="preserve"> of any capital city in Australia. The four statistical areas with the largest growth in the country between 2007 and 2012 were all on the outskirts of Greater Melbourne, including South Morang and Point Cook.</w:t>
      </w:r>
      <w:r w:rsidRPr="00983FB9">
        <w:t xml:space="preserve"> </w:t>
      </w:r>
      <w:r>
        <w:t>Recent trends in migration are likely to continue, leading to forecast population growth that is slightly higher than experienced in recent years.</w:t>
      </w:r>
    </w:p>
    <w:p w:rsidR="00F60B5F" w:rsidRDefault="00F60B5F">
      <w:pPr>
        <w:spacing w:after="0"/>
      </w:pPr>
      <w:r>
        <w:br w:type="page"/>
      </w:r>
    </w:p>
    <w:p w:rsidR="00F60B5F" w:rsidRDefault="00F60B5F" w:rsidP="00084041">
      <w:r>
        <w:t xml:space="preserve">International goods </w:t>
      </w:r>
      <w:r w:rsidRPr="00094730">
        <w:t xml:space="preserve">exports </w:t>
      </w:r>
      <w:r w:rsidRPr="00A91F7A">
        <w:t xml:space="preserve">started to show signs of recovery </w:t>
      </w:r>
      <w:r>
        <w:t xml:space="preserve">last year, </w:t>
      </w:r>
      <w:r w:rsidRPr="00642AA9">
        <w:t>reflect</w:t>
      </w:r>
      <w:r>
        <w:t>ing</w:t>
      </w:r>
      <w:r w:rsidRPr="00642AA9">
        <w:t xml:space="preserve"> </w:t>
      </w:r>
      <w:r>
        <w:t>a moderating</w:t>
      </w:r>
      <w:r w:rsidRPr="00642AA9">
        <w:t xml:space="preserve"> Australian dollar</w:t>
      </w:r>
      <w:r>
        <w:t xml:space="preserve"> and</w:t>
      </w:r>
      <w:r w:rsidRPr="00642AA9">
        <w:t xml:space="preserve"> favourable conditions for agricultural production.</w:t>
      </w:r>
      <w:r>
        <w:t xml:space="preserve"> Driven by food and livestock trade, Victoria’s export of goods increased by 11.3 per cent over the year to September 2013</w:t>
      </w:r>
      <w:r w:rsidRPr="008F6DE5">
        <w:t xml:space="preserve">. </w:t>
      </w:r>
      <w:r>
        <w:t xml:space="preserve">Since the release of the Budget in May 2013, there has been a depreciation </w:t>
      </w:r>
      <w:r w:rsidRPr="008F6DE5">
        <w:t xml:space="preserve">of the exchange rate </w:t>
      </w:r>
      <w:r>
        <w:t>which, if sustained,</w:t>
      </w:r>
      <w:r w:rsidRPr="00094730">
        <w:t xml:space="preserve"> </w:t>
      </w:r>
      <w:r>
        <w:t>should increase demand for exports</w:t>
      </w:r>
      <w:r w:rsidRPr="00094730">
        <w:t xml:space="preserve"> in 2013</w:t>
      </w:r>
      <w:r>
        <w:noBreakHyphen/>
      </w:r>
      <w:r w:rsidRPr="00094730">
        <w:t>14</w:t>
      </w:r>
      <w:r>
        <w:t>.</w:t>
      </w:r>
    </w:p>
    <w:p w:rsidR="00F60B5F" w:rsidRDefault="00F60B5F" w:rsidP="00084041">
      <w:r w:rsidRPr="0091000A">
        <w:t>Prospects for service export</w:t>
      </w:r>
      <w:r>
        <w:t>s</w:t>
      </w:r>
      <w:r w:rsidRPr="0091000A">
        <w:t xml:space="preserve"> are</w:t>
      </w:r>
      <w:r>
        <w:t xml:space="preserve"> also</w:t>
      </w:r>
      <w:r w:rsidRPr="0091000A">
        <w:t xml:space="preserve"> improving,</w:t>
      </w:r>
      <w:r>
        <w:t xml:space="preserve"> with</w:t>
      </w:r>
      <w:r w:rsidRPr="0091000A">
        <w:t xml:space="preserve"> </w:t>
      </w:r>
      <w:r w:rsidRPr="0091116F">
        <w:t>education exports</w:t>
      </w:r>
      <w:r>
        <w:t xml:space="preserve"> and tourism expected to recover faster as the moderating Australian dollar enables them to be more competitive.</w:t>
      </w:r>
    </w:p>
    <w:p w:rsidR="00F60B5F" w:rsidRDefault="00F60B5F" w:rsidP="00084041">
      <w:r>
        <w:rPr>
          <w:lang w:eastAsia="en-AU"/>
        </w:rPr>
        <w:t>Chapter 2</w:t>
      </w:r>
      <w:r w:rsidRPr="00F72125">
        <w:rPr>
          <w:lang w:eastAsia="en-AU"/>
        </w:rPr>
        <w:t xml:space="preserve"> </w:t>
      </w:r>
      <w:r w:rsidRPr="00F72125">
        <w:rPr>
          <w:i/>
          <w:lang w:eastAsia="en-AU"/>
        </w:rPr>
        <w:t>Economic context</w:t>
      </w:r>
      <w:r w:rsidRPr="00F72125">
        <w:rPr>
          <w:lang w:eastAsia="en-AU"/>
        </w:rPr>
        <w:t xml:space="preserve"> provides</w:t>
      </w:r>
      <w:r>
        <w:rPr>
          <w:lang w:eastAsia="en-AU"/>
        </w:rPr>
        <w:t xml:space="preserve"> further</w:t>
      </w:r>
      <w:r w:rsidRPr="00F72125">
        <w:rPr>
          <w:lang w:eastAsia="en-AU"/>
        </w:rPr>
        <w:t xml:space="preserve"> detail on economic conditions in Victoria in the context of the international and Australian economic environment.</w:t>
      </w:r>
    </w:p>
    <w:p w:rsidR="00F60B5F" w:rsidRDefault="00F60B5F" w:rsidP="001E6B7F">
      <w:pPr>
        <w:pStyle w:val="Heading1"/>
      </w:pPr>
      <w:bookmarkStart w:id="4" w:name="_Toc374373943"/>
      <w:r w:rsidRPr="00F72125">
        <w:t>Strong financial management</w:t>
      </w:r>
      <w:bookmarkEnd w:id="4"/>
    </w:p>
    <w:p w:rsidR="00F60B5F" w:rsidRPr="00F72125" w:rsidRDefault="00F60B5F" w:rsidP="001E6B7F">
      <w:r w:rsidRPr="00DF427C">
        <w:t xml:space="preserve">A </w:t>
      </w:r>
      <w:r>
        <w:t>sound</w:t>
      </w:r>
      <w:r w:rsidRPr="00DF427C">
        <w:t xml:space="preserve"> budget position </w:t>
      </w:r>
      <w:r>
        <w:t>i</w:t>
      </w:r>
      <w:r w:rsidRPr="00DF427C">
        <w:t xml:space="preserve">s at the heart of the Government’s economic </w:t>
      </w:r>
      <w:r>
        <w:t xml:space="preserve">and fiscal </w:t>
      </w:r>
      <w:r w:rsidRPr="00DF427C">
        <w:t>strategy.</w:t>
      </w:r>
      <w:r>
        <w:rPr>
          <w:lang w:eastAsia="en-AU"/>
        </w:rPr>
        <w:t xml:space="preserve"> The Government continues</w:t>
      </w:r>
      <w:r w:rsidRPr="00F72125">
        <w:rPr>
          <w:lang w:eastAsia="en-AU"/>
        </w:rPr>
        <w:t xml:space="preserve"> to deliver</w:t>
      </w:r>
      <w:r>
        <w:rPr>
          <w:lang w:eastAsia="en-AU"/>
        </w:rPr>
        <w:t xml:space="preserve"> the </w:t>
      </w:r>
      <w:r w:rsidRPr="00F72125">
        <w:rPr>
          <w:lang w:eastAsia="en-AU"/>
        </w:rPr>
        <w:t>operating</w:t>
      </w:r>
      <w:r>
        <w:rPr>
          <w:lang w:eastAsia="en-AU"/>
        </w:rPr>
        <w:t xml:space="preserve"> surpluses</w:t>
      </w:r>
      <w:r w:rsidRPr="00F72125">
        <w:rPr>
          <w:lang w:eastAsia="en-AU"/>
        </w:rPr>
        <w:t xml:space="preserve"> </w:t>
      </w:r>
      <w:r>
        <w:t xml:space="preserve">needed to fund infrastructure investment and services while prudently and sustainably managing net debt </w:t>
      </w:r>
      <w:r>
        <w:rPr>
          <w:lang w:eastAsia="en-AU"/>
        </w:rPr>
        <w:t>(Table</w:t>
      </w:r>
      <w:r>
        <w:t> </w:t>
      </w:r>
      <w:r>
        <w:rPr>
          <w:lang w:eastAsia="en-AU"/>
        </w:rPr>
        <w:t>1.1)</w:t>
      </w:r>
      <w:r w:rsidRPr="00F72125">
        <w:t>.</w:t>
      </w:r>
    </w:p>
    <w:p w:rsidR="00F60B5F" w:rsidRPr="009D506E" w:rsidRDefault="00F60B5F" w:rsidP="009D506E">
      <w:pPr>
        <w:keepNext/>
        <w:spacing w:before="240"/>
        <w:ind w:left="1152" w:hanging="1152"/>
        <w:rPr>
          <w:rFonts w:ascii="Calibri" w:hAnsi="Calibri"/>
          <w:b/>
        </w:rPr>
      </w:pPr>
      <w:r w:rsidRPr="00F72125">
        <w:rPr>
          <w:rFonts w:ascii="Calibri" w:hAnsi="Calibri"/>
          <w:b/>
        </w:rPr>
        <w:t>Table 1.1:</w:t>
      </w:r>
      <w:r w:rsidRPr="00F72125">
        <w:rPr>
          <w:rFonts w:ascii="Calibri" w:hAnsi="Calibri"/>
          <w:b/>
        </w:rPr>
        <w:tab/>
        <w:t>General government fiscal aggregates and measure</w:t>
      </w:r>
      <w:r>
        <w:rPr>
          <w:rFonts w:ascii="Calibri" w:hAnsi="Calibri"/>
          <w:b/>
        </w:rPr>
        <w:t>s</w:t>
      </w:r>
    </w:p>
    <w:tbl>
      <w:tblPr>
        <w:tblW w:w="7776" w:type="dxa"/>
        <w:tblInd w:w="28" w:type="dxa"/>
        <w:tblLayout w:type="fixed"/>
        <w:tblCellMar>
          <w:left w:w="45" w:type="dxa"/>
          <w:right w:w="45" w:type="dxa"/>
        </w:tblCellMar>
        <w:tblLook w:val="0000" w:firstRow="0" w:lastRow="0" w:firstColumn="0" w:lastColumn="0" w:noHBand="0" w:noVBand="0"/>
      </w:tblPr>
      <w:tblGrid>
        <w:gridCol w:w="2177"/>
        <w:gridCol w:w="810"/>
        <w:gridCol w:w="798"/>
        <w:gridCol w:w="798"/>
        <w:gridCol w:w="798"/>
        <w:gridCol w:w="798"/>
        <w:gridCol w:w="798"/>
        <w:gridCol w:w="799"/>
      </w:tblGrid>
      <w:tr w:rsidR="00F60B5F" w:rsidRPr="009D506E" w:rsidTr="009D506E">
        <w:trPr>
          <w:cantSplit/>
          <w:tblHeader/>
        </w:trPr>
        <w:tc>
          <w:tcPr>
            <w:tcW w:w="2177" w:type="dxa"/>
            <w:tcBorders>
              <w:top w:val="single" w:sz="6" w:space="0" w:color="000000"/>
              <w:left w:val="single" w:sz="6" w:space="0" w:color="000000"/>
              <w:bottom w:val="nil"/>
              <w:right w:val="nil"/>
            </w:tcBorders>
            <w:shd w:val="clear" w:color="auto" w:fill="000000"/>
          </w:tcPr>
          <w:p w:rsidR="00F60B5F" w:rsidRPr="009D506E" w:rsidRDefault="00F60B5F" w:rsidP="009D506E">
            <w:pPr>
              <w:pStyle w:val="Tabletext"/>
              <w:rPr>
                <w:rFonts w:eastAsiaTheme="minorEastAsia"/>
                <w:sz w:val="19"/>
                <w:lang w:eastAsia="en-AU"/>
              </w:rPr>
            </w:pPr>
            <w:r w:rsidRPr="009D506E">
              <w:rPr>
                <w:rFonts w:eastAsiaTheme="minorEastAsia"/>
                <w:sz w:val="19"/>
                <w:lang w:eastAsia="en-AU"/>
              </w:rPr>
              <w:t xml:space="preserve">   </w:t>
            </w:r>
          </w:p>
        </w:tc>
        <w:tc>
          <w:tcPr>
            <w:tcW w:w="810" w:type="dxa"/>
            <w:tcBorders>
              <w:top w:val="single" w:sz="6" w:space="0" w:color="000000"/>
              <w:left w:val="nil"/>
              <w:bottom w:val="nil"/>
              <w:right w:val="nil"/>
            </w:tcBorders>
            <w:shd w:val="clear" w:color="auto" w:fill="000000"/>
          </w:tcPr>
          <w:p w:rsidR="00F60B5F" w:rsidRPr="009D506E" w:rsidRDefault="00F60B5F" w:rsidP="009D506E">
            <w:pPr>
              <w:pStyle w:val="Tabletextheading"/>
              <w:jc w:val="center"/>
              <w:rPr>
                <w:rFonts w:eastAsiaTheme="minorEastAsia"/>
                <w:sz w:val="19"/>
                <w:lang w:eastAsia="en-AU"/>
              </w:rPr>
            </w:pPr>
            <w:r w:rsidRPr="009D506E">
              <w:rPr>
                <w:rFonts w:eastAsiaTheme="minorEastAsia"/>
                <w:sz w:val="19"/>
                <w:lang w:eastAsia="en-AU"/>
              </w:rPr>
              <w:t>Unit of</w:t>
            </w:r>
          </w:p>
        </w:tc>
        <w:tc>
          <w:tcPr>
            <w:tcW w:w="798" w:type="dxa"/>
            <w:tcBorders>
              <w:top w:val="single" w:sz="6" w:space="0" w:color="000000"/>
              <w:left w:val="nil"/>
              <w:bottom w:val="nil"/>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2012</w:t>
            </w:r>
            <w:r>
              <w:rPr>
                <w:rFonts w:eastAsiaTheme="minorEastAsia"/>
                <w:sz w:val="19"/>
                <w:lang w:eastAsia="en-AU"/>
              </w:rPr>
              <w:noBreakHyphen/>
            </w:r>
            <w:r w:rsidRPr="009D506E">
              <w:rPr>
                <w:rFonts w:eastAsiaTheme="minorEastAsia"/>
                <w:sz w:val="19"/>
                <w:lang w:eastAsia="en-AU"/>
              </w:rPr>
              <w:t>13</w:t>
            </w:r>
          </w:p>
        </w:tc>
        <w:tc>
          <w:tcPr>
            <w:tcW w:w="798" w:type="dxa"/>
            <w:tcBorders>
              <w:top w:val="single" w:sz="6" w:space="0" w:color="000000"/>
              <w:left w:val="nil"/>
              <w:bottom w:val="nil"/>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2013</w:t>
            </w:r>
            <w:r>
              <w:rPr>
                <w:rFonts w:eastAsiaTheme="minorEastAsia"/>
                <w:sz w:val="19"/>
                <w:lang w:eastAsia="en-AU"/>
              </w:rPr>
              <w:noBreakHyphen/>
            </w:r>
            <w:r w:rsidRPr="009D506E">
              <w:rPr>
                <w:rFonts w:eastAsiaTheme="minorEastAsia"/>
                <w:sz w:val="19"/>
                <w:lang w:eastAsia="en-AU"/>
              </w:rPr>
              <w:t>14</w:t>
            </w:r>
          </w:p>
        </w:tc>
        <w:tc>
          <w:tcPr>
            <w:tcW w:w="798" w:type="dxa"/>
            <w:tcBorders>
              <w:top w:val="single" w:sz="6" w:space="0" w:color="000000"/>
              <w:left w:val="nil"/>
              <w:bottom w:val="nil"/>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2013</w:t>
            </w:r>
            <w:r>
              <w:rPr>
                <w:rFonts w:eastAsiaTheme="minorEastAsia"/>
                <w:sz w:val="19"/>
                <w:lang w:eastAsia="en-AU"/>
              </w:rPr>
              <w:noBreakHyphen/>
            </w:r>
            <w:r w:rsidRPr="009D506E">
              <w:rPr>
                <w:rFonts w:eastAsiaTheme="minorEastAsia"/>
                <w:sz w:val="19"/>
                <w:lang w:eastAsia="en-AU"/>
              </w:rPr>
              <w:t>14</w:t>
            </w:r>
          </w:p>
        </w:tc>
        <w:tc>
          <w:tcPr>
            <w:tcW w:w="798" w:type="dxa"/>
            <w:tcBorders>
              <w:top w:val="single" w:sz="6" w:space="0" w:color="000000"/>
              <w:left w:val="nil"/>
              <w:bottom w:val="nil"/>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2014</w:t>
            </w:r>
            <w:r>
              <w:rPr>
                <w:rFonts w:eastAsiaTheme="minorEastAsia"/>
                <w:sz w:val="19"/>
                <w:lang w:eastAsia="en-AU"/>
              </w:rPr>
              <w:noBreakHyphen/>
            </w:r>
            <w:r w:rsidRPr="009D506E">
              <w:rPr>
                <w:rFonts w:eastAsiaTheme="minorEastAsia"/>
                <w:sz w:val="19"/>
                <w:lang w:eastAsia="en-AU"/>
              </w:rPr>
              <w:t>15</w:t>
            </w:r>
          </w:p>
        </w:tc>
        <w:tc>
          <w:tcPr>
            <w:tcW w:w="798" w:type="dxa"/>
            <w:tcBorders>
              <w:top w:val="single" w:sz="6" w:space="0" w:color="000000"/>
              <w:left w:val="nil"/>
              <w:bottom w:val="nil"/>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2015</w:t>
            </w:r>
            <w:r>
              <w:rPr>
                <w:rFonts w:eastAsiaTheme="minorEastAsia"/>
                <w:sz w:val="19"/>
                <w:lang w:eastAsia="en-AU"/>
              </w:rPr>
              <w:noBreakHyphen/>
            </w:r>
            <w:r w:rsidRPr="009D506E">
              <w:rPr>
                <w:rFonts w:eastAsiaTheme="minorEastAsia"/>
                <w:sz w:val="19"/>
                <w:lang w:eastAsia="en-AU"/>
              </w:rPr>
              <w:t>16</w:t>
            </w:r>
          </w:p>
        </w:tc>
        <w:tc>
          <w:tcPr>
            <w:tcW w:w="799" w:type="dxa"/>
            <w:tcBorders>
              <w:top w:val="single" w:sz="6" w:space="0" w:color="000000"/>
              <w:left w:val="nil"/>
              <w:bottom w:val="nil"/>
              <w:right w:val="single" w:sz="6" w:space="0" w:color="000000"/>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2016</w:t>
            </w:r>
            <w:r>
              <w:rPr>
                <w:rFonts w:eastAsiaTheme="minorEastAsia"/>
                <w:sz w:val="19"/>
                <w:lang w:eastAsia="en-AU"/>
              </w:rPr>
              <w:noBreakHyphen/>
            </w:r>
            <w:r w:rsidRPr="009D506E">
              <w:rPr>
                <w:rFonts w:eastAsiaTheme="minorEastAsia"/>
                <w:sz w:val="19"/>
                <w:lang w:eastAsia="en-AU"/>
              </w:rPr>
              <w:t>17</w:t>
            </w:r>
          </w:p>
        </w:tc>
      </w:tr>
      <w:tr w:rsidR="00F60B5F" w:rsidRPr="009D506E" w:rsidTr="009D506E">
        <w:trPr>
          <w:cantSplit/>
          <w:tblHeader/>
        </w:trPr>
        <w:tc>
          <w:tcPr>
            <w:tcW w:w="2177" w:type="dxa"/>
            <w:tcBorders>
              <w:top w:val="nil"/>
              <w:left w:val="single" w:sz="6" w:space="0" w:color="000000"/>
              <w:bottom w:val="single" w:sz="6" w:space="0" w:color="000000"/>
              <w:right w:val="nil"/>
            </w:tcBorders>
            <w:shd w:val="clear" w:color="auto" w:fill="000000"/>
          </w:tcPr>
          <w:p w:rsidR="00F60B5F" w:rsidRPr="009D506E" w:rsidRDefault="00F60B5F" w:rsidP="009D506E">
            <w:pPr>
              <w:pStyle w:val="Tabletext"/>
              <w:rPr>
                <w:rFonts w:eastAsiaTheme="minorEastAsia"/>
                <w:sz w:val="19"/>
                <w:lang w:eastAsia="en-AU"/>
              </w:rPr>
            </w:pPr>
            <w:r w:rsidRPr="009D506E">
              <w:rPr>
                <w:rFonts w:eastAsiaTheme="minorEastAsia"/>
                <w:sz w:val="19"/>
                <w:lang w:eastAsia="en-AU"/>
              </w:rPr>
              <w:t xml:space="preserve">   </w:t>
            </w:r>
          </w:p>
        </w:tc>
        <w:tc>
          <w:tcPr>
            <w:tcW w:w="810" w:type="dxa"/>
            <w:tcBorders>
              <w:top w:val="nil"/>
              <w:left w:val="nil"/>
              <w:bottom w:val="single" w:sz="6" w:space="0" w:color="000000"/>
              <w:right w:val="nil"/>
            </w:tcBorders>
            <w:shd w:val="clear" w:color="auto" w:fill="000000"/>
          </w:tcPr>
          <w:p w:rsidR="00F60B5F" w:rsidRPr="009D506E" w:rsidRDefault="00F60B5F" w:rsidP="009D506E">
            <w:pPr>
              <w:pStyle w:val="Tabletextheading"/>
              <w:jc w:val="center"/>
              <w:rPr>
                <w:rFonts w:eastAsiaTheme="minorEastAsia"/>
                <w:sz w:val="19"/>
                <w:lang w:eastAsia="en-AU"/>
              </w:rPr>
            </w:pPr>
            <w:r w:rsidRPr="009D506E">
              <w:rPr>
                <w:rFonts w:eastAsiaTheme="minorEastAsia"/>
                <w:sz w:val="19"/>
                <w:lang w:eastAsia="en-AU"/>
              </w:rPr>
              <w:t>Measure</w:t>
            </w:r>
          </w:p>
        </w:tc>
        <w:tc>
          <w:tcPr>
            <w:tcW w:w="798" w:type="dxa"/>
            <w:tcBorders>
              <w:top w:val="nil"/>
              <w:left w:val="nil"/>
              <w:bottom w:val="single" w:sz="6" w:space="0" w:color="000000"/>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Actual</w:t>
            </w:r>
          </w:p>
        </w:tc>
        <w:tc>
          <w:tcPr>
            <w:tcW w:w="798" w:type="dxa"/>
            <w:tcBorders>
              <w:top w:val="nil"/>
              <w:left w:val="nil"/>
              <w:bottom w:val="single" w:sz="6" w:space="0" w:color="000000"/>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Budget</w:t>
            </w:r>
          </w:p>
        </w:tc>
        <w:tc>
          <w:tcPr>
            <w:tcW w:w="798" w:type="dxa"/>
            <w:tcBorders>
              <w:top w:val="nil"/>
              <w:left w:val="nil"/>
              <w:bottom w:val="single" w:sz="6" w:space="0" w:color="000000"/>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Revised</w:t>
            </w:r>
          </w:p>
        </w:tc>
        <w:tc>
          <w:tcPr>
            <w:tcW w:w="798" w:type="dxa"/>
            <w:tcBorders>
              <w:top w:val="nil"/>
              <w:left w:val="nil"/>
              <w:bottom w:val="single" w:sz="6" w:space="0" w:color="000000"/>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Estimate</w:t>
            </w:r>
          </w:p>
        </w:tc>
        <w:tc>
          <w:tcPr>
            <w:tcW w:w="798" w:type="dxa"/>
            <w:tcBorders>
              <w:top w:val="nil"/>
              <w:left w:val="nil"/>
              <w:bottom w:val="single" w:sz="6" w:space="0" w:color="000000"/>
              <w:right w:val="nil"/>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Estimate</w:t>
            </w:r>
          </w:p>
        </w:tc>
        <w:tc>
          <w:tcPr>
            <w:tcW w:w="799" w:type="dxa"/>
            <w:tcBorders>
              <w:top w:val="nil"/>
              <w:left w:val="nil"/>
              <w:bottom w:val="single" w:sz="6" w:space="0" w:color="000000"/>
              <w:right w:val="single" w:sz="6" w:space="0" w:color="000000"/>
            </w:tcBorders>
            <w:shd w:val="clear" w:color="auto" w:fill="000000"/>
          </w:tcPr>
          <w:p w:rsidR="00F60B5F" w:rsidRPr="009D506E" w:rsidRDefault="00F60B5F" w:rsidP="009D506E">
            <w:pPr>
              <w:pStyle w:val="Tabletextheading"/>
              <w:rPr>
                <w:rFonts w:eastAsiaTheme="minorEastAsia"/>
                <w:sz w:val="19"/>
                <w:lang w:eastAsia="en-AU"/>
              </w:rPr>
            </w:pPr>
            <w:r w:rsidRPr="009D506E">
              <w:rPr>
                <w:rFonts w:eastAsiaTheme="minorEastAsia"/>
                <w:sz w:val="19"/>
                <w:lang w:eastAsia="en-AU"/>
              </w:rPr>
              <w:t>Estimate</w:t>
            </w:r>
          </w:p>
        </w:tc>
      </w:tr>
      <w:tr w:rsidR="00F60B5F" w:rsidRPr="009D506E" w:rsidTr="009D506E">
        <w:trPr>
          <w:cantSplit/>
        </w:trPr>
        <w:tc>
          <w:tcPr>
            <w:tcW w:w="2177" w:type="dxa"/>
            <w:tcBorders>
              <w:top w:val="single" w:sz="6" w:space="0" w:color="000000"/>
              <w:left w:val="nil"/>
              <w:bottom w:val="nil"/>
              <w:right w:val="nil"/>
            </w:tcBorders>
          </w:tcPr>
          <w:p w:rsidR="00F60B5F" w:rsidRPr="009D506E" w:rsidRDefault="00F60B5F" w:rsidP="009D506E">
            <w:pPr>
              <w:pStyle w:val="Tabletext"/>
              <w:rPr>
                <w:rFonts w:eastAsiaTheme="minorEastAsia"/>
                <w:sz w:val="19"/>
                <w:lang w:eastAsia="en-AU"/>
              </w:rPr>
            </w:pPr>
            <w:r w:rsidRPr="009D506E">
              <w:rPr>
                <w:rFonts w:eastAsiaTheme="minorEastAsia"/>
                <w:sz w:val="19"/>
                <w:lang w:eastAsia="en-AU"/>
              </w:rPr>
              <w:t>Net result from transactions</w:t>
            </w:r>
          </w:p>
        </w:tc>
        <w:tc>
          <w:tcPr>
            <w:tcW w:w="810" w:type="dxa"/>
            <w:tcBorders>
              <w:top w:val="single" w:sz="6" w:space="0" w:color="000000"/>
              <w:left w:val="nil"/>
              <w:bottom w:val="nil"/>
              <w:right w:val="nil"/>
            </w:tcBorders>
          </w:tcPr>
          <w:p w:rsidR="00F60B5F" w:rsidRPr="009D506E" w:rsidRDefault="00F60B5F" w:rsidP="009D506E">
            <w:pPr>
              <w:pStyle w:val="TableofFigures"/>
              <w:jc w:val="center"/>
              <w:rPr>
                <w:rFonts w:eastAsiaTheme="minorEastAsia"/>
                <w:sz w:val="19"/>
                <w:lang w:eastAsia="en-AU"/>
              </w:rPr>
            </w:pPr>
            <w:r w:rsidRPr="009D506E">
              <w:rPr>
                <w:rFonts w:eastAsiaTheme="minorEastAsia"/>
                <w:sz w:val="19"/>
                <w:lang w:eastAsia="en-AU"/>
              </w:rPr>
              <w:t>$</w:t>
            </w:r>
            <w:r>
              <w:rPr>
                <w:rFonts w:eastAsiaTheme="minorEastAsia"/>
                <w:sz w:val="19"/>
                <w:lang w:eastAsia="en-AU"/>
              </w:rPr>
              <w:t> million</w:t>
            </w:r>
          </w:p>
        </w:tc>
        <w:tc>
          <w:tcPr>
            <w:tcW w:w="798" w:type="dxa"/>
            <w:tcBorders>
              <w:top w:val="single" w:sz="6" w:space="0" w:color="000000"/>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316.4</w:t>
            </w:r>
          </w:p>
        </w:tc>
        <w:tc>
          <w:tcPr>
            <w:tcW w:w="798" w:type="dxa"/>
            <w:tcBorders>
              <w:top w:val="single" w:sz="6" w:space="0" w:color="000000"/>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224.5</w:t>
            </w:r>
          </w:p>
        </w:tc>
        <w:tc>
          <w:tcPr>
            <w:tcW w:w="798" w:type="dxa"/>
            <w:tcBorders>
              <w:top w:val="single" w:sz="6" w:space="0" w:color="000000"/>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221.8</w:t>
            </w:r>
          </w:p>
        </w:tc>
        <w:tc>
          <w:tcPr>
            <w:tcW w:w="798" w:type="dxa"/>
            <w:tcBorders>
              <w:top w:val="single" w:sz="6" w:space="0" w:color="000000"/>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911.0</w:t>
            </w:r>
          </w:p>
        </w:tc>
        <w:tc>
          <w:tcPr>
            <w:tcW w:w="798" w:type="dxa"/>
            <w:tcBorders>
              <w:top w:val="single" w:sz="6" w:space="0" w:color="000000"/>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2 051.5</w:t>
            </w:r>
          </w:p>
        </w:tc>
        <w:tc>
          <w:tcPr>
            <w:tcW w:w="799" w:type="dxa"/>
            <w:tcBorders>
              <w:top w:val="single" w:sz="6" w:space="0" w:color="000000"/>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2 718.9</w:t>
            </w:r>
          </w:p>
        </w:tc>
      </w:tr>
      <w:tr w:rsidR="00F60B5F" w:rsidRPr="009D506E" w:rsidTr="009D506E">
        <w:trPr>
          <w:cantSplit/>
        </w:trPr>
        <w:tc>
          <w:tcPr>
            <w:tcW w:w="2177" w:type="dxa"/>
            <w:tcBorders>
              <w:top w:val="nil"/>
              <w:left w:val="nil"/>
              <w:bottom w:val="nil"/>
              <w:right w:val="nil"/>
            </w:tcBorders>
          </w:tcPr>
          <w:p w:rsidR="00F60B5F" w:rsidRPr="009D506E" w:rsidRDefault="00F60B5F" w:rsidP="009D506E">
            <w:pPr>
              <w:pStyle w:val="Tabletext"/>
              <w:rPr>
                <w:rFonts w:eastAsiaTheme="minorEastAsia"/>
                <w:sz w:val="19"/>
                <w:vertAlign w:val="superscript"/>
                <w:lang w:eastAsia="en-AU"/>
              </w:rPr>
            </w:pPr>
            <w:r w:rsidRPr="009D506E">
              <w:rPr>
                <w:rFonts w:eastAsiaTheme="minorEastAsia"/>
                <w:sz w:val="19"/>
                <w:lang w:eastAsia="en-AU"/>
              </w:rPr>
              <w:t xml:space="preserve">Government fiscal result </w:t>
            </w:r>
            <w:r w:rsidRPr="009D506E">
              <w:rPr>
                <w:rFonts w:eastAsiaTheme="minorEastAsia"/>
                <w:sz w:val="19"/>
                <w:vertAlign w:val="superscript"/>
                <w:lang w:eastAsia="en-AU"/>
              </w:rPr>
              <w:t>(a)</w:t>
            </w:r>
          </w:p>
        </w:tc>
        <w:tc>
          <w:tcPr>
            <w:tcW w:w="810" w:type="dxa"/>
            <w:tcBorders>
              <w:top w:val="nil"/>
              <w:left w:val="nil"/>
              <w:bottom w:val="nil"/>
              <w:right w:val="nil"/>
            </w:tcBorders>
          </w:tcPr>
          <w:p w:rsidR="00F60B5F" w:rsidRPr="009D506E" w:rsidRDefault="00F60B5F" w:rsidP="009D506E">
            <w:pPr>
              <w:pStyle w:val="TableofFigures"/>
              <w:jc w:val="center"/>
              <w:rPr>
                <w:rFonts w:eastAsiaTheme="minorEastAsia"/>
                <w:sz w:val="19"/>
                <w:lang w:eastAsia="en-AU"/>
              </w:rPr>
            </w:pPr>
            <w:r w:rsidRPr="009D506E">
              <w:rPr>
                <w:rFonts w:eastAsiaTheme="minorEastAsia"/>
                <w:sz w:val="19"/>
                <w:lang w:eastAsia="en-AU"/>
              </w:rPr>
              <w:t>$</w:t>
            </w:r>
            <w:r>
              <w:rPr>
                <w:rFonts w:eastAsiaTheme="minorEastAsia"/>
                <w:sz w:val="19"/>
                <w:lang w:eastAsia="en-AU"/>
              </w:rPr>
              <w:t> million</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316.4</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817.6</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762.9</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1 475.7</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2 628.2</w:t>
            </w:r>
          </w:p>
        </w:tc>
        <w:tc>
          <w:tcPr>
            <w:tcW w:w="799"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3 307.0</w:t>
            </w:r>
          </w:p>
        </w:tc>
      </w:tr>
      <w:tr w:rsidR="00F60B5F" w:rsidRPr="009D506E" w:rsidTr="009D506E">
        <w:trPr>
          <w:cantSplit/>
        </w:trPr>
        <w:tc>
          <w:tcPr>
            <w:tcW w:w="2177" w:type="dxa"/>
            <w:tcBorders>
              <w:top w:val="nil"/>
              <w:left w:val="nil"/>
              <w:bottom w:val="nil"/>
              <w:right w:val="nil"/>
            </w:tcBorders>
          </w:tcPr>
          <w:p w:rsidR="00F60B5F" w:rsidRPr="009D506E" w:rsidRDefault="00F60B5F" w:rsidP="009D506E">
            <w:pPr>
              <w:pStyle w:val="Tabletext"/>
              <w:rPr>
                <w:rFonts w:eastAsiaTheme="minorEastAsia"/>
                <w:sz w:val="19"/>
                <w:vertAlign w:val="superscript"/>
                <w:lang w:eastAsia="en-AU"/>
              </w:rPr>
            </w:pPr>
            <w:r w:rsidRPr="009D506E">
              <w:rPr>
                <w:rFonts w:eastAsiaTheme="minorEastAsia"/>
                <w:sz w:val="19"/>
                <w:lang w:eastAsia="en-AU"/>
              </w:rPr>
              <w:t xml:space="preserve">Net debt </w:t>
            </w:r>
            <w:r w:rsidRPr="009D506E">
              <w:rPr>
                <w:rFonts w:eastAsiaTheme="minorEastAsia"/>
                <w:sz w:val="19"/>
                <w:vertAlign w:val="superscript"/>
                <w:lang w:eastAsia="en-AU"/>
              </w:rPr>
              <w:t>(b)</w:t>
            </w:r>
          </w:p>
        </w:tc>
        <w:tc>
          <w:tcPr>
            <w:tcW w:w="810" w:type="dxa"/>
            <w:tcBorders>
              <w:top w:val="nil"/>
              <w:left w:val="nil"/>
              <w:bottom w:val="nil"/>
              <w:right w:val="nil"/>
            </w:tcBorders>
          </w:tcPr>
          <w:p w:rsidR="00F60B5F" w:rsidRPr="009D506E" w:rsidRDefault="00F60B5F" w:rsidP="009D506E">
            <w:pPr>
              <w:pStyle w:val="TableofFigures"/>
              <w:jc w:val="center"/>
              <w:rPr>
                <w:rFonts w:eastAsiaTheme="minorEastAsia"/>
                <w:sz w:val="19"/>
                <w:lang w:eastAsia="en-AU"/>
              </w:rPr>
            </w:pPr>
            <w:r w:rsidRPr="009D506E">
              <w:rPr>
                <w:rFonts w:eastAsiaTheme="minorEastAsia"/>
                <w:sz w:val="19"/>
                <w:lang w:eastAsia="en-AU"/>
              </w:rPr>
              <w:t>$</w:t>
            </w:r>
            <w:r>
              <w:rPr>
                <w:rFonts w:eastAsiaTheme="minorEastAsia"/>
                <w:sz w:val="19"/>
                <w:lang w:eastAsia="en-AU"/>
              </w:rPr>
              <w:t> billion</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19.8</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23.0</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22.7</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24.8</w:t>
            </w:r>
          </w:p>
        </w:tc>
        <w:tc>
          <w:tcPr>
            <w:tcW w:w="798"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23.9</w:t>
            </w:r>
          </w:p>
        </w:tc>
        <w:tc>
          <w:tcPr>
            <w:tcW w:w="799" w:type="dxa"/>
            <w:tcBorders>
              <w:top w:val="nil"/>
              <w:left w:val="nil"/>
              <w:bottom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22.8</w:t>
            </w:r>
          </w:p>
        </w:tc>
      </w:tr>
      <w:tr w:rsidR="00F60B5F" w:rsidRPr="009D506E" w:rsidTr="009D506E">
        <w:trPr>
          <w:cantSplit/>
        </w:trPr>
        <w:tc>
          <w:tcPr>
            <w:tcW w:w="2177" w:type="dxa"/>
            <w:tcBorders>
              <w:top w:val="nil"/>
              <w:left w:val="nil"/>
              <w:right w:val="nil"/>
            </w:tcBorders>
          </w:tcPr>
          <w:p w:rsidR="00F60B5F" w:rsidRPr="009D506E" w:rsidRDefault="00F60B5F" w:rsidP="009D506E">
            <w:pPr>
              <w:pStyle w:val="Tabletext"/>
              <w:rPr>
                <w:rFonts w:eastAsiaTheme="minorEastAsia"/>
                <w:sz w:val="19"/>
                <w:vertAlign w:val="superscript"/>
                <w:lang w:eastAsia="en-AU"/>
              </w:rPr>
            </w:pPr>
            <w:r w:rsidRPr="009D506E">
              <w:rPr>
                <w:rFonts w:eastAsiaTheme="minorEastAsia"/>
                <w:sz w:val="19"/>
                <w:lang w:eastAsia="en-AU"/>
              </w:rPr>
              <w:t xml:space="preserve">Net debt to GSP </w:t>
            </w:r>
            <w:r w:rsidRPr="009D506E">
              <w:rPr>
                <w:rFonts w:eastAsiaTheme="minorEastAsia"/>
                <w:sz w:val="19"/>
                <w:vertAlign w:val="superscript"/>
                <w:lang w:eastAsia="en-AU"/>
              </w:rPr>
              <w:t>(c)</w:t>
            </w:r>
          </w:p>
        </w:tc>
        <w:tc>
          <w:tcPr>
            <w:tcW w:w="810" w:type="dxa"/>
            <w:tcBorders>
              <w:top w:val="nil"/>
              <w:left w:val="nil"/>
              <w:right w:val="nil"/>
            </w:tcBorders>
          </w:tcPr>
          <w:p w:rsidR="00F60B5F" w:rsidRPr="009D506E" w:rsidRDefault="00F60B5F" w:rsidP="009D506E">
            <w:pPr>
              <w:pStyle w:val="TableofFigures"/>
              <w:jc w:val="center"/>
              <w:rPr>
                <w:rFonts w:eastAsiaTheme="minorEastAsia"/>
                <w:sz w:val="19"/>
                <w:lang w:eastAsia="en-AU"/>
              </w:rPr>
            </w:pPr>
            <w:r w:rsidRPr="009D506E">
              <w:rPr>
                <w:rFonts w:eastAsiaTheme="minorEastAsia"/>
                <w:sz w:val="19"/>
                <w:lang w:eastAsia="en-AU"/>
              </w:rPr>
              <w:t>per cent</w:t>
            </w:r>
          </w:p>
        </w:tc>
        <w:tc>
          <w:tcPr>
            <w:tcW w:w="798" w:type="dxa"/>
            <w:tcBorders>
              <w:top w:val="nil"/>
              <w:left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5.9</w:t>
            </w:r>
          </w:p>
        </w:tc>
        <w:tc>
          <w:tcPr>
            <w:tcW w:w="798" w:type="dxa"/>
            <w:tcBorders>
              <w:top w:val="nil"/>
              <w:left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6.4</w:t>
            </w:r>
          </w:p>
        </w:tc>
        <w:tc>
          <w:tcPr>
            <w:tcW w:w="798" w:type="dxa"/>
            <w:tcBorders>
              <w:top w:val="nil"/>
              <w:left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6.4</w:t>
            </w:r>
          </w:p>
        </w:tc>
        <w:tc>
          <w:tcPr>
            <w:tcW w:w="798" w:type="dxa"/>
            <w:tcBorders>
              <w:top w:val="nil"/>
              <w:left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6.7</w:t>
            </w:r>
          </w:p>
        </w:tc>
        <w:tc>
          <w:tcPr>
            <w:tcW w:w="798" w:type="dxa"/>
            <w:tcBorders>
              <w:top w:val="nil"/>
              <w:left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6.1</w:t>
            </w:r>
          </w:p>
        </w:tc>
        <w:tc>
          <w:tcPr>
            <w:tcW w:w="799" w:type="dxa"/>
            <w:tcBorders>
              <w:top w:val="nil"/>
              <w:left w:val="nil"/>
              <w:right w:val="nil"/>
            </w:tcBorders>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5.6</w:t>
            </w:r>
          </w:p>
        </w:tc>
      </w:tr>
      <w:tr w:rsidR="00F60B5F" w:rsidRPr="009D506E" w:rsidTr="009D506E">
        <w:trPr>
          <w:cantSplit/>
        </w:trPr>
        <w:tc>
          <w:tcPr>
            <w:tcW w:w="2177" w:type="dxa"/>
            <w:tcBorders>
              <w:top w:val="nil"/>
              <w:left w:val="nil"/>
              <w:bottom w:val="single" w:sz="12" w:space="0" w:color="000000"/>
              <w:right w:val="nil"/>
            </w:tcBorders>
            <w:shd w:val="clear" w:color="auto" w:fill="auto"/>
          </w:tcPr>
          <w:p w:rsidR="00F60B5F" w:rsidRPr="009D506E" w:rsidRDefault="00F60B5F" w:rsidP="009D506E">
            <w:pPr>
              <w:pStyle w:val="Tabletext"/>
              <w:rPr>
                <w:rFonts w:eastAsiaTheme="minorEastAsia"/>
                <w:sz w:val="19"/>
                <w:vertAlign w:val="superscript"/>
                <w:lang w:eastAsia="en-AU"/>
              </w:rPr>
            </w:pPr>
            <w:r w:rsidRPr="009D506E">
              <w:rPr>
                <w:rFonts w:eastAsiaTheme="minorEastAsia"/>
                <w:sz w:val="19"/>
                <w:lang w:eastAsia="en-AU"/>
              </w:rPr>
              <w:t xml:space="preserve">Government infrastructure investment </w:t>
            </w:r>
            <w:r w:rsidRPr="009D506E">
              <w:rPr>
                <w:rFonts w:eastAsiaTheme="minorEastAsia"/>
                <w:sz w:val="19"/>
                <w:vertAlign w:val="superscript"/>
                <w:lang w:eastAsia="en-AU"/>
              </w:rPr>
              <w:t>(d)</w:t>
            </w:r>
          </w:p>
        </w:tc>
        <w:tc>
          <w:tcPr>
            <w:tcW w:w="810" w:type="dxa"/>
            <w:tcBorders>
              <w:top w:val="nil"/>
              <w:left w:val="nil"/>
              <w:bottom w:val="single" w:sz="12" w:space="0" w:color="000000"/>
              <w:right w:val="nil"/>
            </w:tcBorders>
            <w:shd w:val="clear" w:color="auto" w:fill="auto"/>
          </w:tcPr>
          <w:p w:rsidR="00F60B5F" w:rsidRPr="009D506E" w:rsidRDefault="00F60B5F" w:rsidP="009D506E">
            <w:pPr>
              <w:pStyle w:val="TableofFigures"/>
              <w:jc w:val="center"/>
              <w:rPr>
                <w:rFonts w:eastAsiaTheme="minorEastAsia"/>
                <w:sz w:val="19"/>
                <w:lang w:eastAsia="en-AU"/>
              </w:rPr>
            </w:pPr>
            <w:r w:rsidRPr="009D506E">
              <w:rPr>
                <w:rFonts w:eastAsiaTheme="minorEastAsia"/>
                <w:sz w:val="19"/>
                <w:lang w:eastAsia="en-AU"/>
              </w:rPr>
              <w:t>$</w:t>
            </w:r>
            <w:r>
              <w:rPr>
                <w:rFonts w:eastAsiaTheme="minorEastAsia"/>
                <w:sz w:val="19"/>
                <w:lang w:eastAsia="en-AU"/>
              </w:rPr>
              <w:t> billion</w:t>
            </w:r>
          </w:p>
        </w:tc>
        <w:tc>
          <w:tcPr>
            <w:tcW w:w="798" w:type="dxa"/>
            <w:tcBorders>
              <w:top w:val="nil"/>
              <w:left w:val="nil"/>
              <w:bottom w:val="single" w:sz="12" w:space="0" w:color="000000"/>
              <w:right w:val="nil"/>
            </w:tcBorders>
            <w:shd w:val="clear" w:color="auto" w:fill="auto"/>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5.4</w:t>
            </w:r>
          </w:p>
        </w:tc>
        <w:tc>
          <w:tcPr>
            <w:tcW w:w="798" w:type="dxa"/>
            <w:tcBorders>
              <w:top w:val="nil"/>
              <w:left w:val="nil"/>
              <w:bottom w:val="single" w:sz="12" w:space="0" w:color="000000"/>
              <w:right w:val="nil"/>
            </w:tcBorders>
            <w:shd w:val="clear" w:color="auto" w:fill="auto"/>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6.1</w:t>
            </w:r>
          </w:p>
        </w:tc>
        <w:tc>
          <w:tcPr>
            <w:tcW w:w="798" w:type="dxa"/>
            <w:tcBorders>
              <w:top w:val="nil"/>
              <w:left w:val="nil"/>
              <w:bottom w:val="single" w:sz="12" w:space="0" w:color="000000"/>
              <w:right w:val="nil"/>
            </w:tcBorders>
            <w:shd w:val="clear" w:color="auto" w:fill="auto"/>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5.8</w:t>
            </w:r>
          </w:p>
        </w:tc>
        <w:tc>
          <w:tcPr>
            <w:tcW w:w="798" w:type="dxa"/>
            <w:tcBorders>
              <w:top w:val="nil"/>
              <w:left w:val="nil"/>
              <w:bottom w:val="single" w:sz="12" w:space="0" w:color="000000"/>
              <w:right w:val="nil"/>
            </w:tcBorders>
            <w:shd w:val="clear" w:color="auto" w:fill="auto"/>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7.2</w:t>
            </w:r>
          </w:p>
        </w:tc>
        <w:tc>
          <w:tcPr>
            <w:tcW w:w="798" w:type="dxa"/>
            <w:tcBorders>
              <w:top w:val="nil"/>
              <w:left w:val="nil"/>
              <w:bottom w:val="single" w:sz="12" w:space="0" w:color="000000"/>
              <w:right w:val="nil"/>
            </w:tcBorders>
            <w:shd w:val="clear" w:color="auto" w:fill="auto"/>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4.2</w:t>
            </w:r>
          </w:p>
        </w:tc>
        <w:tc>
          <w:tcPr>
            <w:tcW w:w="799" w:type="dxa"/>
            <w:tcBorders>
              <w:top w:val="nil"/>
              <w:left w:val="nil"/>
              <w:bottom w:val="single" w:sz="12" w:space="0" w:color="000000"/>
              <w:right w:val="nil"/>
            </w:tcBorders>
            <w:shd w:val="clear" w:color="auto" w:fill="auto"/>
          </w:tcPr>
          <w:p w:rsidR="00F60B5F" w:rsidRPr="009D506E" w:rsidRDefault="00F60B5F" w:rsidP="009D506E">
            <w:pPr>
              <w:pStyle w:val="TableofFigures"/>
              <w:rPr>
                <w:rFonts w:eastAsiaTheme="minorEastAsia"/>
                <w:sz w:val="19"/>
                <w:lang w:eastAsia="en-AU"/>
              </w:rPr>
            </w:pPr>
            <w:r w:rsidRPr="009D506E">
              <w:rPr>
                <w:rFonts w:eastAsiaTheme="minorEastAsia"/>
                <w:sz w:val="19"/>
                <w:lang w:eastAsia="en-AU"/>
              </w:rPr>
              <w:t xml:space="preserve"> 3.5</w:t>
            </w:r>
          </w:p>
        </w:tc>
      </w:tr>
    </w:tbl>
    <w:p w:rsidR="00F60B5F" w:rsidRPr="00050317" w:rsidRDefault="00F60B5F" w:rsidP="00B06CF1">
      <w:pPr>
        <w:pStyle w:val="Source"/>
        <w:rPr>
          <w:b/>
        </w:rPr>
      </w:pPr>
      <w:r>
        <w:t>Source: Department of Treasury and Finance</w:t>
      </w:r>
    </w:p>
    <w:p w:rsidR="00F60B5F" w:rsidRPr="00F60B5F" w:rsidRDefault="00F60B5F" w:rsidP="00F60B5F">
      <w:pPr>
        <w:pStyle w:val="Notes"/>
        <w:rPr>
          <w:rStyle w:val="NotesChar"/>
          <w:i/>
        </w:rPr>
      </w:pPr>
      <w:r w:rsidRPr="00F60B5F">
        <w:rPr>
          <w:rStyle w:val="NotesChar"/>
          <w:i/>
        </w:rPr>
        <w:t>Notes:</w:t>
      </w:r>
    </w:p>
    <w:p w:rsidR="00F60B5F" w:rsidRPr="00F60B5F" w:rsidRDefault="00F60B5F" w:rsidP="00F60B5F">
      <w:pPr>
        <w:pStyle w:val="Notes"/>
        <w:rPr>
          <w:rStyle w:val="NotesChar"/>
          <w:i/>
        </w:rPr>
      </w:pPr>
      <w:r w:rsidRPr="00F60B5F">
        <w:rPr>
          <w:rStyle w:val="NotesChar"/>
          <w:i/>
        </w:rPr>
        <w:t>(a)</w:t>
      </w:r>
      <w:r w:rsidRPr="00F60B5F">
        <w:rPr>
          <w:rStyle w:val="NotesChar"/>
          <w:i/>
        </w:rPr>
        <w:tab/>
        <w:t xml:space="preserve">Equals the net result from transactions after excluding the impact of the revised AASB 119 </w:t>
      </w:r>
      <w:r w:rsidRPr="00F60B5F">
        <w:rPr>
          <w:rStyle w:val="NotesChar"/>
        </w:rPr>
        <w:t>Employee Benefits</w:t>
      </w:r>
      <w:r w:rsidRPr="00F60B5F">
        <w:rPr>
          <w:rStyle w:val="NotesChar"/>
          <w:i/>
        </w:rPr>
        <w:t xml:space="preserve">, which applies </w:t>
      </w:r>
      <w:r w:rsidRPr="00F60B5F">
        <w:t>from 2013</w:t>
      </w:r>
      <w:r w:rsidRPr="00F60B5F">
        <w:noBreakHyphen/>
        <w:t>14 onwards</w:t>
      </w:r>
      <w:r w:rsidRPr="00F60B5F">
        <w:rPr>
          <w:rStyle w:val="NotesChar"/>
          <w:i/>
        </w:rPr>
        <w:t>.</w:t>
      </w:r>
    </w:p>
    <w:p w:rsidR="00F60B5F" w:rsidRPr="00F60B5F" w:rsidRDefault="00F60B5F" w:rsidP="00F60B5F">
      <w:pPr>
        <w:pStyle w:val="Notes"/>
        <w:rPr>
          <w:rStyle w:val="NotesChar"/>
          <w:i/>
        </w:rPr>
      </w:pPr>
      <w:r w:rsidRPr="00F60B5F">
        <w:rPr>
          <w:rStyle w:val="NotesChar"/>
          <w:i/>
        </w:rPr>
        <w:t>(b)</w:t>
      </w:r>
      <w:r w:rsidRPr="00F60B5F">
        <w:rPr>
          <w:rStyle w:val="NotesChar"/>
          <w:i/>
        </w:rPr>
        <w:tab/>
        <w:t>The sum of borrowings, deposits held and advances received less the sum of cash and deposits, advances paid, and investments, loans and placements.</w:t>
      </w:r>
    </w:p>
    <w:p w:rsidR="00F60B5F" w:rsidRPr="00F60B5F" w:rsidRDefault="00F60B5F" w:rsidP="00F60B5F">
      <w:pPr>
        <w:pStyle w:val="Notes"/>
        <w:rPr>
          <w:rStyle w:val="NotesChar"/>
          <w:i/>
        </w:rPr>
      </w:pPr>
      <w:r w:rsidRPr="00F60B5F">
        <w:rPr>
          <w:rStyle w:val="NotesChar"/>
          <w:i/>
        </w:rPr>
        <w:t>(c)</w:t>
      </w:r>
      <w:r w:rsidRPr="00F60B5F">
        <w:rPr>
          <w:rStyle w:val="NotesChar"/>
          <w:i/>
        </w:rPr>
        <w:tab/>
        <w:t>Ratios to GSP may vary from publications year to year due to revisions made by the ABS to its published GSP data.</w:t>
      </w:r>
    </w:p>
    <w:p w:rsidR="00F60B5F" w:rsidRPr="00F60B5F" w:rsidRDefault="00F60B5F" w:rsidP="00F60B5F">
      <w:pPr>
        <w:pStyle w:val="Notes"/>
        <w:rPr>
          <w:rStyle w:val="NotesChar"/>
          <w:i/>
        </w:rPr>
      </w:pPr>
      <w:r w:rsidRPr="00F60B5F">
        <w:rPr>
          <w:rStyle w:val="NotesChar"/>
          <w:i/>
        </w:rPr>
        <w:t>(d)</w:t>
      </w:r>
      <w:r w:rsidRPr="00F60B5F">
        <w:rPr>
          <w:rStyle w:val="NotesChar"/>
          <w:i/>
        </w:rPr>
        <w:tab/>
        <w:t>Includes net infrastructure investment and estimated capital cash flows for Partnerships Victoria projects, and excludes one</w:t>
      </w:r>
      <w:r w:rsidRPr="00F60B5F">
        <w:rPr>
          <w:rStyle w:val="NotesChar"/>
          <w:i/>
        </w:rPr>
        <w:noBreakHyphen/>
        <w:t xml:space="preserve">off fiscal stimulus payments for </w:t>
      </w:r>
      <w:r w:rsidRPr="00F60B5F">
        <w:rPr>
          <w:rStyle w:val="NotesChar"/>
        </w:rPr>
        <w:t>Nation Building – Economic Stimulus Plan</w:t>
      </w:r>
      <w:r w:rsidRPr="00F60B5F">
        <w:rPr>
          <w:rStyle w:val="NotesChar"/>
          <w:i/>
        </w:rPr>
        <w:t xml:space="preserve"> Social Housing component and </w:t>
      </w:r>
      <w:r w:rsidRPr="00F60B5F">
        <w:rPr>
          <w:rStyle w:val="NotesChar"/>
        </w:rPr>
        <w:t>Building the Education Revolution</w:t>
      </w:r>
      <w:r w:rsidRPr="00F60B5F">
        <w:rPr>
          <w:rStyle w:val="NotesChar"/>
          <w:i/>
        </w:rPr>
        <w:t>.</w:t>
      </w:r>
    </w:p>
    <w:p w:rsidR="00F60B5F" w:rsidRPr="00987491" w:rsidRDefault="00F60B5F" w:rsidP="00987491">
      <w:pPr>
        <w:pStyle w:val="Notes"/>
      </w:pPr>
    </w:p>
    <w:p w:rsidR="00F60B5F" w:rsidRDefault="00F60B5F" w:rsidP="00C42F36">
      <w:r w:rsidRPr="00F72125">
        <w:t>The Government’s medium</w:t>
      </w:r>
      <w:r>
        <w:noBreakHyphen/>
      </w:r>
      <w:r w:rsidRPr="00F72125">
        <w:t>term fiscal strategy</w:t>
      </w:r>
      <w:r>
        <w:t xml:space="preserve">, achieved through sustainable </w:t>
      </w:r>
      <w:r w:rsidRPr="00F72125">
        <w:t>expenditure growth</w:t>
      </w:r>
      <w:r>
        <w:t>, improved public sector productivity and more efficient delivery of infrastructure and services,</w:t>
      </w:r>
      <w:r w:rsidRPr="00F72125">
        <w:t xml:space="preserve"> ensure</w:t>
      </w:r>
      <w:r>
        <w:t>s Victoria’s</w:t>
      </w:r>
      <w:r w:rsidRPr="00F72125">
        <w:t xml:space="preserve"> finances can withstand unexpected adverse fiscal or economic events</w:t>
      </w:r>
      <w:r>
        <w:t>.</w:t>
      </w:r>
    </w:p>
    <w:p w:rsidR="00F60B5F" w:rsidRDefault="00F60B5F">
      <w:pPr>
        <w:spacing w:after="0"/>
      </w:pPr>
      <w:r>
        <w:br w:type="page"/>
      </w:r>
    </w:p>
    <w:p w:rsidR="00F60B5F" w:rsidRDefault="00F60B5F" w:rsidP="0004281D">
      <w:r>
        <w:t xml:space="preserve">Over the past three years, the Government has acted decisively to contain expenditure growth. </w:t>
      </w:r>
      <w:r w:rsidRPr="00504F63">
        <w:t xml:space="preserve">Expenditure is projected to grow by </w:t>
      </w:r>
      <w:r>
        <w:t>2.0 per cent</w:t>
      </w:r>
      <w:r w:rsidRPr="00504F63">
        <w:t xml:space="preserve"> in 2013</w:t>
      </w:r>
      <w:r>
        <w:noBreakHyphen/>
      </w:r>
      <w:r w:rsidRPr="00504F63">
        <w:t xml:space="preserve">14 and an average of </w:t>
      </w:r>
      <w:r>
        <w:t>2.3 per cent a year</w:t>
      </w:r>
      <w:r w:rsidRPr="00504F63">
        <w:t xml:space="preserve"> </w:t>
      </w:r>
      <w:r>
        <w:t>over the forward estimates period. This represents a further reduction in expenditure growth over the past three years (where expenditure grew by an average of 3.2 per cent a year) and the decade to 2009</w:t>
      </w:r>
      <w:r>
        <w:noBreakHyphen/>
        <w:t>10 (where expenditure grew by an average of 8 per cent a year).</w:t>
      </w:r>
    </w:p>
    <w:p w:rsidR="00F60B5F" w:rsidRDefault="00F60B5F" w:rsidP="00A64FAB">
      <w:r w:rsidRPr="0069074F">
        <w:t>The Government has driven public sector productivity by reducing back office costs and administrative expenditure, and by reducing internal red tape. The Government’s Sustainable Government Initiative (SGI) has re</w:t>
      </w:r>
      <w:r>
        <w:t>focused</w:t>
      </w:r>
      <w:r w:rsidRPr="0069074F">
        <w:t xml:space="preserve"> the public service</w:t>
      </w:r>
      <w:r>
        <w:t>.</w:t>
      </w:r>
      <w:r w:rsidRPr="0069074F">
        <w:t xml:space="preserve"> </w:t>
      </w:r>
      <w:r>
        <w:t>Service delivery staff</w:t>
      </w:r>
      <w:r w:rsidRPr="0069074F">
        <w:t>, as a percentage of the total V</w:t>
      </w:r>
      <w:r>
        <w:t xml:space="preserve">ictorian </w:t>
      </w:r>
      <w:r w:rsidRPr="0069074F">
        <w:t>p</w:t>
      </w:r>
      <w:r>
        <w:t xml:space="preserve">ublic </w:t>
      </w:r>
      <w:r w:rsidRPr="0069074F">
        <w:t>s</w:t>
      </w:r>
      <w:r>
        <w:t>ervice (VPS)</w:t>
      </w:r>
      <w:r w:rsidRPr="0069074F">
        <w:t xml:space="preserve"> workforce, </w:t>
      </w:r>
      <w:r>
        <w:t>is 5 percentage points</w:t>
      </w:r>
      <w:r w:rsidRPr="0069074F">
        <w:t xml:space="preserve"> </w:t>
      </w:r>
      <w:r>
        <w:t>greater</w:t>
      </w:r>
      <w:r w:rsidRPr="0069074F">
        <w:t xml:space="preserve"> than before SGI was introduced</w:t>
      </w:r>
      <w:r>
        <w:t xml:space="preserve">. </w:t>
      </w:r>
      <w:r w:rsidRPr="00A64FAB">
        <w:t xml:space="preserve">This </w:t>
      </w:r>
      <w:r>
        <w:t>focus on</w:t>
      </w:r>
      <w:r w:rsidRPr="00A64FAB">
        <w:t xml:space="preserve"> service delivery has seen the number of full time equivalent employees increase </w:t>
      </w:r>
      <w:r>
        <w:t>in areas including government schools,</w:t>
      </w:r>
      <w:r w:rsidRPr="00A64FAB">
        <w:t xml:space="preserve"> Ambulance Victoria, Victoria Police</w:t>
      </w:r>
      <w:r>
        <w:t>,</w:t>
      </w:r>
      <w:r w:rsidRPr="00A64FAB">
        <w:t xml:space="preserve"> fire services</w:t>
      </w:r>
      <w:r>
        <w:t xml:space="preserve"> and some health sector entities.</w:t>
      </w:r>
    </w:p>
    <w:p w:rsidR="00F60B5F" w:rsidRDefault="00F60B5F" w:rsidP="00A64FAB">
      <w:r>
        <w:t>To ensure the efficiency</w:t>
      </w:r>
      <w:r w:rsidRPr="00A64FAB">
        <w:t xml:space="preserve"> gains achieved through the S</w:t>
      </w:r>
      <w:r>
        <w:t>GI</w:t>
      </w:r>
      <w:r w:rsidRPr="00A64FAB">
        <w:t xml:space="preserve"> are not lost, the Government will introduce a Labour Sustai</w:t>
      </w:r>
      <w:r>
        <w:t>nability Cap from 1 January 2014</w:t>
      </w:r>
      <w:r w:rsidRPr="00A64FAB">
        <w:t xml:space="preserve">. </w:t>
      </w:r>
      <w:r>
        <w:t>T</w:t>
      </w:r>
      <w:r w:rsidRPr="00A64FAB">
        <w:t>he Labour Sustainability Cap will limit department and agency expenditure on V</w:t>
      </w:r>
      <w:r>
        <w:t>PS staff and</w:t>
      </w:r>
      <w:r w:rsidRPr="00A64FAB">
        <w:t xml:space="preserve"> contractors. This cap on total labour expenditure will </w:t>
      </w:r>
      <w:r>
        <w:t>moderate</w:t>
      </w:r>
      <w:r w:rsidRPr="00A64FAB">
        <w:t xml:space="preserve"> overall labour cost growth while providing flexibility to departments and agencies to deliver </w:t>
      </w:r>
      <w:r>
        <w:t>government</w:t>
      </w:r>
      <w:r w:rsidRPr="00A64FAB">
        <w:t xml:space="preserve"> business and service delivery needs.</w:t>
      </w:r>
    </w:p>
    <w:p w:rsidR="00F60B5F" w:rsidRDefault="00F60B5F" w:rsidP="003829E8">
      <w:r>
        <w:t>Table 1.2</w:t>
      </w:r>
      <w:r w:rsidRPr="00F72125">
        <w:t xml:space="preserve"> outlines the Government’s medium</w:t>
      </w:r>
      <w:r>
        <w:noBreakHyphen/>
        <w:t>term fiscal parameters.</w:t>
      </w:r>
    </w:p>
    <w:p w:rsidR="00F60B5F" w:rsidRPr="00F72125" w:rsidRDefault="00F60B5F" w:rsidP="003829E8">
      <w:pPr>
        <w:pStyle w:val="Tableheading"/>
        <w:rPr>
          <w:rFonts w:ascii="Times New Roman" w:hAnsi="Times New Roman"/>
          <w:i/>
          <w:sz w:val="20"/>
          <w:lang w:eastAsia="en-AU"/>
        </w:rPr>
      </w:pPr>
      <w:r>
        <w:t>Table 1.2</w:t>
      </w:r>
      <w:r w:rsidRPr="00F72125">
        <w:t>:</w:t>
      </w:r>
      <w:r w:rsidRPr="00F72125">
        <w:tab/>
        <w:t>Medium</w:t>
      </w:r>
      <w:r>
        <w:noBreakHyphen/>
      </w:r>
      <w:r w:rsidRPr="00F72125">
        <w:t>term fiscal strategy</w:t>
      </w:r>
    </w:p>
    <w:tbl>
      <w:tblPr>
        <w:tblW w:w="7776" w:type="dxa"/>
        <w:tblInd w:w="29" w:type="dxa"/>
        <w:tblLayout w:type="fixed"/>
        <w:tblCellMar>
          <w:left w:w="43" w:type="dxa"/>
          <w:right w:w="43" w:type="dxa"/>
        </w:tblCellMar>
        <w:tblLook w:val="04A0" w:firstRow="1" w:lastRow="0" w:firstColumn="1" w:lastColumn="0" w:noHBand="0" w:noVBand="1"/>
      </w:tblPr>
      <w:tblGrid>
        <w:gridCol w:w="2624"/>
        <w:gridCol w:w="5152"/>
      </w:tblGrid>
      <w:tr w:rsidR="00F60B5F" w:rsidRPr="00F72125" w:rsidTr="00E2140F">
        <w:trPr>
          <w:cantSplit/>
          <w:tblHeader/>
        </w:trPr>
        <w:tc>
          <w:tcPr>
            <w:tcW w:w="2624" w:type="dxa"/>
            <w:tcBorders>
              <w:top w:val="single" w:sz="4" w:space="0" w:color="auto"/>
              <w:left w:val="single" w:sz="4" w:space="0" w:color="auto"/>
              <w:bottom w:val="single" w:sz="4" w:space="0" w:color="auto"/>
            </w:tcBorders>
            <w:shd w:val="clear" w:color="auto" w:fill="000000"/>
            <w:hideMark/>
          </w:tcPr>
          <w:p w:rsidR="00F60B5F" w:rsidRPr="00F72125" w:rsidRDefault="00F60B5F" w:rsidP="00E2140F">
            <w:pPr>
              <w:pStyle w:val="Tabletextheadingleft"/>
              <w:rPr>
                <w:rFonts w:eastAsiaTheme="minorEastAsia"/>
                <w:lang w:eastAsia="en-AU"/>
              </w:rPr>
            </w:pPr>
            <w:r w:rsidRPr="00F72125">
              <w:rPr>
                <w:rFonts w:eastAsiaTheme="minorEastAsia"/>
                <w:lang w:eastAsia="en-AU"/>
              </w:rPr>
              <w:t>Financial measures</w:t>
            </w:r>
          </w:p>
        </w:tc>
        <w:tc>
          <w:tcPr>
            <w:tcW w:w="5152" w:type="dxa"/>
            <w:tcBorders>
              <w:top w:val="single" w:sz="4" w:space="0" w:color="auto"/>
              <w:bottom w:val="single" w:sz="4" w:space="0" w:color="auto"/>
              <w:right w:val="single" w:sz="4" w:space="0" w:color="auto"/>
            </w:tcBorders>
            <w:shd w:val="clear" w:color="auto" w:fill="000000"/>
            <w:hideMark/>
          </w:tcPr>
          <w:p w:rsidR="00F60B5F" w:rsidRPr="00F72125" w:rsidRDefault="00F60B5F" w:rsidP="00E2140F">
            <w:pPr>
              <w:pStyle w:val="Tabletextheadingleft"/>
              <w:rPr>
                <w:rFonts w:eastAsiaTheme="minorEastAsia"/>
                <w:lang w:eastAsia="en-AU"/>
              </w:rPr>
            </w:pPr>
            <w:r w:rsidRPr="00F72125">
              <w:rPr>
                <w:rFonts w:eastAsiaTheme="minorEastAsia"/>
                <w:lang w:eastAsia="en-AU"/>
              </w:rPr>
              <w:t>Parameters</w:t>
            </w:r>
          </w:p>
        </w:tc>
      </w:tr>
      <w:tr w:rsidR="00F60B5F" w:rsidRPr="00F72125" w:rsidTr="00E2140F">
        <w:trPr>
          <w:cantSplit/>
        </w:trPr>
        <w:tc>
          <w:tcPr>
            <w:tcW w:w="2624" w:type="dxa"/>
            <w:shd w:val="solid" w:color="FFFFFF" w:fill="auto"/>
            <w:hideMark/>
          </w:tcPr>
          <w:p w:rsidR="00F60B5F" w:rsidRPr="004707F9" w:rsidRDefault="00F60B5F" w:rsidP="00E2140F">
            <w:pPr>
              <w:pStyle w:val="Tabletext"/>
              <w:rPr>
                <w:rFonts w:eastAsiaTheme="minorEastAsia"/>
                <w:b/>
                <w:lang w:eastAsia="en-AU"/>
              </w:rPr>
            </w:pPr>
            <w:r w:rsidRPr="004707F9">
              <w:rPr>
                <w:rFonts w:eastAsiaTheme="minorEastAsia"/>
                <w:b/>
                <w:lang w:eastAsia="en-AU"/>
              </w:rPr>
              <w:t>Infrastructure investment</w:t>
            </w:r>
          </w:p>
        </w:tc>
        <w:tc>
          <w:tcPr>
            <w:tcW w:w="5152" w:type="dxa"/>
            <w:hideMark/>
          </w:tcPr>
          <w:p w:rsidR="00F60B5F" w:rsidRPr="00F72125" w:rsidRDefault="00F60B5F" w:rsidP="00E2140F">
            <w:pPr>
              <w:pStyle w:val="Tabletext"/>
              <w:ind w:left="0" w:firstLine="0"/>
              <w:rPr>
                <w:rFonts w:eastAsiaTheme="minorEastAsia"/>
                <w:lang w:eastAsia="en-AU"/>
              </w:rPr>
            </w:pPr>
            <w:r w:rsidRPr="00F72125">
              <w:rPr>
                <w:rFonts w:eastAsiaTheme="minorEastAsia"/>
                <w:lang w:eastAsia="en-AU"/>
              </w:rPr>
              <w:t>Infrastructure investment of 1.3</w:t>
            </w:r>
            <w:r>
              <w:rPr>
                <w:rFonts w:eastAsiaTheme="minorEastAsia"/>
                <w:lang w:eastAsia="en-AU"/>
              </w:rPr>
              <w:t> per cent</w:t>
            </w:r>
            <w:r w:rsidRPr="00F72125">
              <w:rPr>
                <w:rFonts w:eastAsiaTheme="minorEastAsia"/>
                <w:lang w:eastAsia="en-AU"/>
              </w:rPr>
              <w:t xml:space="preserve"> of GSP (calculated as a rolling five</w:t>
            </w:r>
            <w:r>
              <w:rPr>
                <w:rFonts w:eastAsiaTheme="minorEastAsia"/>
                <w:lang w:eastAsia="en-AU"/>
              </w:rPr>
              <w:noBreakHyphen/>
            </w:r>
            <w:r w:rsidRPr="00F72125">
              <w:rPr>
                <w:rFonts w:eastAsiaTheme="minorEastAsia"/>
                <w:lang w:eastAsia="en-AU"/>
              </w:rPr>
              <w:t>year average).</w:t>
            </w:r>
          </w:p>
        </w:tc>
      </w:tr>
      <w:tr w:rsidR="00F60B5F" w:rsidRPr="00F72125" w:rsidTr="00E2140F">
        <w:trPr>
          <w:cantSplit/>
        </w:trPr>
        <w:tc>
          <w:tcPr>
            <w:tcW w:w="2624" w:type="dxa"/>
            <w:shd w:val="solid" w:color="FFFFFF" w:fill="auto"/>
            <w:hideMark/>
          </w:tcPr>
          <w:p w:rsidR="00F60B5F" w:rsidRPr="004707F9" w:rsidRDefault="00F60B5F" w:rsidP="00E2140F">
            <w:pPr>
              <w:pStyle w:val="Tabletext"/>
              <w:rPr>
                <w:rFonts w:eastAsiaTheme="minorEastAsia"/>
                <w:b/>
                <w:lang w:eastAsia="en-AU"/>
              </w:rPr>
            </w:pPr>
            <w:r w:rsidRPr="004707F9">
              <w:rPr>
                <w:rFonts w:eastAsiaTheme="minorEastAsia"/>
                <w:b/>
                <w:lang w:eastAsia="en-AU"/>
              </w:rPr>
              <w:t>Net debt</w:t>
            </w:r>
          </w:p>
        </w:tc>
        <w:tc>
          <w:tcPr>
            <w:tcW w:w="5152" w:type="dxa"/>
            <w:hideMark/>
          </w:tcPr>
          <w:p w:rsidR="00F60B5F" w:rsidRPr="00F72125" w:rsidRDefault="00F60B5F" w:rsidP="00E2140F">
            <w:pPr>
              <w:pStyle w:val="Tabletext"/>
              <w:ind w:left="0" w:firstLine="0"/>
              <w:rPr>
                <w:rFonts w:eastAsiaTheme="minorEastAsia"/>
                <w:lang w:eastAsia="en-AU"/>
              </w:rPr>
            </w:pPr>
            <w:r w:rsidRPr="00F72125">
              <w:rPr>
                <w:rFonts w:eastAsiaTheme="minorEastAsia"/>
                <w:lang w:eastAsia="en-AU"/>
              </w:rPr>
              <w:t>General government net debt reduced as a percentage of GSP over the decade to 2022.</w:t>
            </w:r>
          </w:p>
        </w:tc>
      </w:tr>
      <w:tr w:rsidR="00F60B5F" w:rsidRPr="00F72125" w:rsidTr="00E2140F">
        <w:trPr>
          <w:cantSplit/>
        </w:trPr>
        <w:tc>
          <w:tcPr>
            <w:tcW w:w="2624" w:type="dxa"/>
            <w:shd w:val="solid" w:color="FFFFFF" w:fill="auto"/>
            <w:hideMark/>
          </w:tcPr>
          <w:p w:rsidR="00F60B5F" w:rsidRPr="004707F9" w:rsidRDefault="00F60B5F" w:rsidP="00E2140F">
            <w:pPr>
              <w:pStyle w:val="Tabletext"/>
              <w:rPr>
                <w:rFonts w:eastAsiaTheme="minorEastAsia"/>
                <w:b/>
                <w:lang w:eastAsia="en-AU"/>
              </w:rPr>
            </w:pPr>
            <w:r w:rsidRPr="004707F9">
              <w:rPr>
                <w:rFonts w:eastAsiaTheme="minorEastAsia"/>
                <w:b/>
                <w:lang w:eastAsia="en-AU"/>
              </w:rPr>
              <w:t>Superannuation liabilities</w:t>
            </w:r>
          </w:p>
        </w:tc>
        <w:tc>
          <w:tcPr>
            <w:tcW w:w="5152" w:type="dxa"/>
            <w:hideMark/>
          </w:tcPr>
          <w:p w:rsidR="00F60B5F" w:rsidRPr="00F72125" w:rsidRDefault="00F60B5F" w:rsidP="00E2140F">
            <w:pPr>
              <w:pStyle w:val="Tabletext"/>
              <w:ind w:left="0" w:firstLine="0"/>
              <w:rPr>
                <w:rFonts w:eastAsiaTheme="minorEastAsia"/>
                <w:lang w:eastAsia="en-AU"/>
              </w:rPr>
            </w:pPr>
            <w:r w:rsidRPr="00F72125">
              <w:rPr>
                <w:rFonts w:eastAsiaTheme="minorEastAsia"/>
                <w:lang w:eastAsia="en-AU"/>
              </w:rPr>
              <w:t>Fully fund the unfunded superannuation liability by 2035.</w:t>
            </w:r>
          </w:p>
        </w:tc>
      </w:tr>
      <w:tr w:rsidR="00F60B5F" w:rsidRPr="00F72125" w:rsidTr="00E2140F">
        <w:trPr>
          <w:cantSplit/>
        </w:trPr>
        <w:tc>
          <w:tcPr>
            <w:tcW w:w="2624" w:type="dxa"/>
            <w:tcBorders>
              <w:top w:val="nil"/>
              <w:left w:val="nil"/>
              <w:bottom w:val="single" w:sz="12" w:space="0" w:color="auto"/>
              <w:right w:val="nil"/>
            </w:tcBorders>
            <w:shd w:val="solid" w:color="FFFFFF" w:fill="auto"/>
            <w:hideMark/>
          </w:tcPr>
          <w:p w:rsidR="00F60B5F" w:rsidRPr="004707F9" w:rsidRDefault="00F60B5F" w:rsidP="00E2140F">
            <w:pPr>
              <w:pStyle w:val="Tabletext"/>
              <w:rPr>
                <w:rFonts w:eastAsiaTheme="minorEastAsia"/>
                <w:b/>
                <w:lang w:eastAsia="en-AU"/>
              </w:rPr>
            </w:pPr>
            <w:r w:rsidRPr="004707F9">
              <w:rPr>
                <w:rFonts w:eastAsiaTheme="minorEastAsia"/>
                <w:b/>
                <w:lang w:eastAsia="en-AU"/>
              </w:rPr>
              <w:t>Operating surplus</w:t>
            </w:r>
          </w:p>
        </w:tc>
        <w:tc>
          <w:tcPr>
            <w:tcW w:w="5152" w:type="dxa"/>
            <w:tcBorders>
              <w:top w:val="nil"/>
              <w:left w:val="nil"/>
              <w:bottom w:val="single" w:sz="12" w:space="0" w:color="auto"/>
              <w:right w:val="nil"/>
            </w:tcBorders>
            <w:hideMark/>
          </w:tcPr>
          <w:p w:rsidR="00F60B5F" w:rsidRPr="00F72125" w:rsidRDefault="00F60B5F" w:rsidP="00E2140F">
            <w:pPr>
              <w:pStyle w:val="Tabletext"/>
              <w:ind w:left="0" w:firstLine="0"/>
              <w:rPr>
                <w:rFonts w:eastAsiaTheme="minorEastAsia"/>
                <w:lang w:eastAsia="en-AU"/>
              </w:rPr>
            </w:pPr>
            <w:r w:rsidRPr="00F72125">
              <w:rPr>
                <w:rFonts w:eastAsiaTheme="minorEastAsia"/>
                <w:lang w:eastAsia="en-AU"/>
              </w:rPr>
              <w:t>A net operating surplus of at least $100</w:t>
            </w:r>
            <w:r>
              <w:rPr>
                <w:rFonts w:eastAsiaTheme="minorEastAsia"/>
                <w:lang w:eastAsia="en-AU"/>
              </w:rPr>
              <w:t> million</w:t>
            </w:r>
            <w:r w:rsidRPr="00F72125">
              <w:rPr>
                <w:rFonts w:eastAsiaTheme="minorEastAsia"/>
                <w:lang w:eastAsia="en-AU"/>
              </w:rPr>
              <w:t xml:space="preserve"> and consistent with the infrastructure and debt parameters.</w:t>
            </w:r>
          </w:p>
        </w:tc>
      </w:tr>
    </w:tbl>
    <w:p w:rsidR="00F60B5F" w:rsidRPr="00F72125" w:rsidRDefault="00F60B5F" w:rsidP="003829E8"/>
    <w:p w:rsidR="00F60B5F" w:rsidRDefault="00F60B5F" w:rsidP="00D364AD">
      <w:r w:rsidRPr="007C66F1">
        <w:t xml:space="preserve">Since the </w:t>
      </w:r>
      <w:r w:rsidRPr="007C66F1">
        <w:rPr>
          <w:i/>
          <w:iCs/>
        </w:rPr>
        <w:t>2013</w:t>
      </w:r>
      <w:r>
        <w:rPr>
          <w:i/>
          <w:iCs/>
        </w:rPr>
        <w:noBreakHyphen/>
      </w:r>
      <w:r w:rsidRPr="007C66F1">
        <w:rPr>
          <w:i/>
          <w:iCs/>
        </w:rPr>
        <w:t>14 Budget</w:t>
      </w:r>
      <w:r w:rsidRPr="007C66F1">
        <w:t>, State finances have come under further pressure.</w:t>
      </w:r>
      <w:r>
        <w:t xml:space="preserve"> Stronger than expected l</w:t>
      </w:r>
      <w:r w:rsidRPr="007C66F1">
        <w:t>and transfer duty and GST revenue</w:t>
      </w:r>
      <w:r>
        <w:t xml:space="preserve">, and a lower </w:t>
      </w:r>
      <w:r w:rsidRPr="007C66F1">
        <w:t>non</w:t>
      </w:r>
      <w:r>
        <w:noBreakHyphen/>
        <w:t>cash superannuation expense, is forecast to be more</w:t>
      </w:r>
      <w:r w:rsidRPr="007C66F1">
        <w:t xml:space="preserve"> than offset by lower than expected growth across other components of the tax base</w:t>
      </w:r>
      <w:r>
        <w:t>, lower investment income</w:t>
      </w:r>
      <w:r w:rsidRPr="007C66F1">
        <w:t xml:space="preserve"> and </w:t>
      </w:r>
      <w:r>
        <w:t>agency cost pressures</w:t>
      </w:r>
      <w:r w:rsidRPr="007C66F1">
        <w:t>.</w:t>
      </w:r>
    </w:p>
    <w:p w:rsidR="00F60B5F" w:rsidRDefault="00F60B5F" w:rsidP="00C42F36">
      <w:r>
        <w:t xml:space="preserve">Consequently, the </w:t>
      </w:r>
      <w:r w:rsidRPr="00E572B7">
        <w:rPr>
          <w:i/>
        </w:rPr>
        <w:t>2013</w:t>
      </w:r>
      <w:r>
        <w:rPr>
          <w:i/>
        </w:rPr>
        <w:noBreakHyphen/>
      </w:r>
      <w:r w:rsidRPr="00E572B7">
        <w:rPr>
          <w:i/>
        </w:rPr>
        <w:t>14 Budget Update</w:t>
      </w:r>
      <w:r>
        <w:t xml:space="preserve"> introduces modest revenue and efficiency measures to enable the Government to continue funding new infrastructure and services while keeping net debt projections on track with the Government’s medium</w:t>
      </w:r>
      <w:r>
        <w:noBreakHyphen/>
        <w:t xml:space="preserve">term fiscal strategy. </w:t>
      </w:r>
      <w:r w:rsidRPr="0052116C">
        <w:t xml:space="preserve">Details of specific </w:t>
      </w:r>
      <w:r>
        <w:t xml:space="preserve">revenue and efficiency measures introduced since the </w:t>
      </w:r>
      <w:r w:rsidRPr="0052116C">
        <w:rPr>
          <w:i/>
        </w:rPr>
        <w:t>201</w:t>
      </w:r>
      <w:r>
        <w:rPr>
          <w:i/>
        </w:rPr>
        <w:t>3</w:t>
      </w:r>
      <w:r>
        <w:rPr>
          <w:i/>
        </w:rPr>
        <w:noBreakHyphen/>
      </w:r>
      <w:r w:rsidRPr="0052116C">
        <w:rPr>
          <w:i/>
        </w:rPr>
        <w:t>1</w:t>
      </w:r>
      <w:r>
        <w:rPr>
          <w:i/>
        </w:rPr>
        <w:t>4</w:t>
      </w:r>
      <w:r w:rsidRPr="0052116C">
        <w:rPr>
          <w:i/>
        </w:rPr>
        <w:t xml:space="preserve"> Budget</w:t>
      </w:r>
      <w:r w:rsidRPr="0052116C">
        <w:t xml:space="preserve"> are contained in </w:t>
      </w:r>
      <w:r w:rsidRPr="00647415">
        <w:t>Appendix A</w:t>
      </w:r>
      <w:r w:rsidRPr="0052116C">
        <w:rPr>
          <w:i/>
        </w:rPr>
        <w:t xml:space="preserve"> Specific policy initiatives</w:t>
      </w:r>
      <w:r w:rsidRPr="0052116C">
        <w:t xml:space="preserve"> </w:t>
      </w:r>
      <w:r w:rsidRPr="00F22EC5">
        <w:rPr>
          <w:i/>
        </w:rPr>
        <w:t>affecting budget position</w:t>
      </w:r>
      <w:r>
        <w:t>.</w:t>
      </w:r>
    </w:p>
    <w:p w:rsidR="00F60B5F" w:rsidRDefault="00F60B5F" w:rsidP="003829E8">
      <w:r>
        <w:t>As a result of these new measures, the revised forecast operating result for 2013</w:t>
      </w:r>
      <w:r>
        <w:noBreakHyphen/>
        <w:t>14 is $</w:t>
      </w:r>
      <w:r w:rsidRPr="002A6FF6">
        <w:t>222</w:t>
      </w:r>
      <w:r>
        <w:t> million, increasing to $</w:t>
      </w:r>
      <w:r w:rsidRPr="002A6FF6">
        <w:t>2.7</w:t>
      </w:r>
      <w:r>
        <w:t> billion in 2016</w:t>
      </w:r>
      <w:r>
        <w:noBreakHyphen/>
        <w:t xml:space="preserve">17. Consistent with estimates in the </w:t>
      </w:r>
      <w:r w:rsidRPr="009402DC">
        <w:rPr>
          <w:i/>
        </w:rPr>
        <w:t>2013</w:t>
      </w:r>
      <w:r>
        <w:rPr>
          <w:i/>
        </w:rPr>
        <w:noBreakHyphen/>
      </w:r>
      <w:r w:rsidRPr="009402DC">
        <w:rPr>
          <w:i/>
        </w:rPr>
        <w:t>14 Budget</w:t>
      </w:r>
      <w:r>
        <w:t>, net debt is projected to decline both nominally and as a percentage of GSP from June 2015, reaching $</w:t>
      </w:r>
      <w:r w:rsidRPr="002A6FF6">
        <w:t>22.8</w:t>
      </w:r>
      <w:r>
        <w:t> billion (</w:t>
      </w:r>
      <w:r w:rsidRPr="002A6FF6">
        <w:t>5.6</w:t>
      </w:r>
      <w:r>
        <w:t> per cent</w:t>
      </w:r>
      <w:r w:rsidRPr="006909FB">
        <w:t xml:space="preserve"> </w:t>
      </w:r>
      <w:r>
        <w:t>of GSP) by June 2017.</w:t>
      </w:r>
    </w:p>
    <w:p w:rsidR="00F60B5F" w:rsidRPr="00CF3686" w:rsidRDefault="00F60B5F" w:rsidP="00755DE5">
      <w:pPr>
        <w:rPr>
          <w:szCs w:val="22"/>
        </w:rPr>
      </w:pPr>
      <w:r w:rsidRPr="006E67FE">
        <w:rPr>
          <w:szCs w:val="22"/>
        </w:rPr>
        <w:t xml:space="preserve">Consistent with the </w:t>
      </w:r>
      <w:r w:rsidRPr="006E67FE">
        <w:rPr>
          <w:i/>
          <w:szCs w:val="22"/>
        </w:rPr>
        <w:t>2013</w:t>
      </w:r>
      <w:r>
        <w:rPr>
          <w:i/>
          <w:szCs w:val="22"/>
        </w:rPr>
        <w:noBreakHyphen/>
      </w:r>
      <w:r w:rsidRPr="006E67FE">
        <w:rPr>
          <w:i/>
          <w:szCs w:val="22"/>
        </w:rPr>
        <w:t>14 Budget</w:t>
      </w:r>
      <w:r w:rsidRPr="006E67FE">
        <w:rPr>
          <w:szCs w:val="22"/>
        </w:rPr>
        <w:t>, the Government is on track to fully fund its infrastructure program without additional borrowing from 2015</w:t>
      </w:r>
      <w:r>
        <w:rPr>
          <w:szCs w:val="22"/>
        </w:rPr>
        <w:noBreakHyphen/>
      </w:r>
      <w:r w:rsidRPr="006E67FE">
        <w:rPr>
          <w:szCs w:val="22"/>
        </w:rPr>
        <w:t>16 onwards.</w:t>
      </w:r>
      <w:r>
        <w:rPr>
          <w:szCs w:val="22"/>
        </w:rPr>
        <w:t xml:space="preserve"> Government infrastructure investment is in line with the Government’s infrastructure parameter over the budget and forward estimates period.</w:t>
      </w:r>
    </w:p>
    <w:p w:rsidR="00F60B5F" w:rsidRPr="00F72125" w:rsidRDefault="00F60B5F" w:rsidP="00627889">
      <w:r>
        <w:t>Chapter 3</w:t>
      </w:r>
      <w:r w:rsidRPr="00F72125">
        <w:t xml:space="preserve"> </w:t>
      </w:r>
      <w:r>
        <w:rPr>
          <w:i/>
        </w:rPr>
        <w:t xml:space="preserve">Budget position and </w:t>
      </w:r>
      <w:r w:rsidRPr="00F72125">
        <w:rPr>
          <w:i/>
        </w:rPr>
        <w:t>outlook</w:t>
      </w:r>
      <w:r w:rsidRPr="00F72125">
        <w:t xml:space="preserve"> provides an overview of the revised budget position for 2013</w:t>
      </w:r>
      <w:r>
        <w:noBreakHyphen/>
      </w:r>
      <w:r w:rsidRPr="00F72125">
        <w:t>14 and the forward estimate years (2014</w:t>
      </w:r>
      <w:r>
        <w:noBreakHyphen/>
      </w:r>
      <w:r w:rsidRPr="00F72125">
        <w:t>15 to 2016</w:t>
      </w:r>
      <w:r>
        <w:noBreakHyphen/>
      </w:r>
      <w:r w:rsidRPr="00F72125">
        <w:t>17.)</w:t>
      </w:r>
    </w:p>
    <w:p w:rsidR="00F60B5F" w:rsidRDefault="00F60B5F" w:rsidP="00EB331D">
      <w:pPr>
        <w:pStyle w:val="Heading1"/>
      </w:pPr>
      <w:bookmarkStart w:id="5" w:name="_Toc374373944"/>
      <w:r w:rsidRPr="00EB331D">
        <w:t>Future</w:t>
      </w:r>
      <w:r>
        <w:rPr>
          <w:caps w:val="0"/>
        </w:rPr>
        <w:t xml:space="preserve"> </w:t>
      </w:r>
      <w:r>
        <w:t>growth must come from strong fundamentals</w:t>
      </w:r>
      <w:bookmarkEnd w:id="5"/>
    </w:p>
    <w:p w:rsidR="00F60B5F" w:rsidRDefault="00F60B5F" w:rsidP="005B09DD">
      <w:r>
        <w:t>The Government has a long term vision for Victoria’s future, which requires an ongoing commitment to strong finances and productivity reform.</w:t>
      </w:r>
    </w:p>
    <w:p w:rsidR="00F60B5F" w:rsidRDefault="00F60B5F" w:rsidP="005B09DD">
      <w:r>
        <w:t>While Victoria’s prospects are positive, there are also a number of long</w:t>
      </w:r>
      <w:r>
        <w:noBreakHyphen/>
        <w:t>term challenges common to all mature economies. Without significant improvements to current productivity levels, the effect of our ageing population is projected to slow real economic growth over the next 40 years largely as a result of falling workforce participation. These demographic changes will also increase demand for health care which, without further public sector reform, will result in unsustainable expenditure growth.</w:t>
      </w:r>
    </w:p>
    <w:p w:rsidR="00F60B5F" w:rsidRDefault="00F60B5F" w:rsidP="005B09DD">
      <w:r>
        <w:t xml:space="preserve">Economic growth can be higher if governments take action to boost labour force participation and productivity. However, even with </w:t>
      </w:r>
      <w:bookmarkStart w:id="6" w:name="OLE_LINK1"/>
      <w:bookmarkStart w:id="7" w:name="OLE_LINK2"/>
      <w:r>
        <w:t>this action</w:t>
      </w:r>
      <w:bookmarkEnd w:id="6"/>
      <w:bookmarkEnd w:id="7"/>
      <w:r>
        <w:t>, revenue growth is unlikely to return to historical rates. Addressing these challenges will require transformation of public service delivery models so that high quality services can be provided more efficiently and with greater choice for consumers.</w:t>
      </w:r>
    </w:p>
    <w:p w:rsidR="00F60B5F" w:rsidRDefault="00F60B5F" w:rsidP="005B09DD">
      <w:r>
        <w:t>The Government is addressing these challenges by strengthening budget capacity, providing more responsive and productive service delivery, improving productivity including through providing major infrastructure, continuing to build the skills and capabilities of the Victorian workforce, and ensuring Victoria is a competitive and low cost place to do business.</w:t>
      </w:r>
    </w:p>
    <w:p w:rsidR="00F60B5F" w:rsidRDefault="00F60B5F" w:rsidP="004A5F33">
      <w:r w:rsidRPr="00647415">
        <w:t>Chapter 4</w:t>
      </w:r>
      <w:r w:rsidRPr="005B09DD">
        <w:rPr>
          <w:i/>
        </w:rPr>
        <w:t xml:space="preserve"> Economic strategy for long term growth</w:t>
      </w:r>
      <w:r>
        <w:t xml:space="preserve"> outlines the Government’s economic reform strategy.</w:t>
      </w:r>
    </w:p>
    <w:p w:rsidR="00F60B5F" w:rsidRPr="0095647C" w:rsidRDefault="00F60B5F" w:rsidP="0095647C">
      <w:pPr>
        <w:pStyle w:val="Heading1"/>
        <w:rPr>
          <w:lang w:eastAsia="en-AU"/>
        </w:rPr>
      </w:pPr>
      <w:bookmarkStart w:id="8" w:name="_Toc374373945"/>
      <w:r w:rsidRPr="0095647C">
        <w:rPr>
          <w:lang w:eastAsia="en-AU"/>
        </w:rPr>
        <w:t>Federal financial relations</w:t>
      </w:r>
      <w:bookmarkEnd w:id="8"/>
    </w:p>
    <w:p w:rsidR="00F60B5F" w:rsidRDefault="00F60B5F" w:rsidP="00C42F36">
      <w:pPr>
        <w:autoSpaceDE w:val="0"/>
        <w:autoSpaceDN w:val="0"/>
        <w:adjustRightInd w:val="0"/>
        <w:rPr>
          <w:rFonts w:cs="Garamond"/>
          <w:color w:val="000000"/>
          <w:szCs w:val="22"/>
          <w:lang w:eastAsia="en-AU"/>
        </w:rPr>
      </w:pPr>
      <w:r w:rsidRPr="005B09DD">
        <w:rPr>
          <w:rFonts w:cs="Garamond"/>
          <w:color w:val="000000"/>
          <w:szCs w:val="22"/>
          <w:lang w:eastAsia="en-AU"/>
        </w:rPr>
        <w:t>While the Government is pursuing a strong fiscal and econ</w:t>
      </w:r>
      <w:r>
        <w:rPr>
          <w:rFonts w:cs="Garamond"/>
          <w:color w:val="000000"/>
          <w:szCs w:val="22"/>
          <w:lang w:eastAsia="en-AU"/>
        </w:rPr>
        <w:t>omic strategy, meeting the long</w:t>
      </w:r>
      <w:r>
        <w:rPr>
          <w:rFonts w:cs="Garamond"/>
          <w:color w:val="000000"/>
          <w:szCs w:val="22"/>
          <w:lang w:eastAsia="en-AU"/>
        </w:rPr>
        <w:noBreakHyphen/>
      </w:r>
      <w:r w:rsidRPr="005B09DD">
        <w:rPr>
          <w:rFonts w:cs="Garamond"/>
          <w:color w:val="000000"/>
          <w:szCs w:val="22"/>
          <w:lang w:eastAsia="en-AU"/>
        </w:rPr>
        <w:t xml:space="preserve">term challenges also requires an improved and more productive relationship between </w:t>
      </w:r>
      <w:r>
        <w:rPr>
          <w:rFonts w:cs="Garamond"/>
          <w:color w:val="000000"/>
          <w:szCs w:val="22"/>
          <w:lang w:eastAsia="en-AU"/>
        </w:rPr>
        <w:t>s</w:t>
      </w:r>
      <w:r w:rsidRPr="005B09DD">
        <w:rPr>
          <w:rFonts w:cs="Garamond"/>
          <w:color w:val="000000"/>
          <w:szCs w:val="22"/>
          <w:lang w:eastAsia="en-AU"/>
        </w:rPr>
        <w:t>tate</w:t>
      </w:r>
      <w:r>
        <w:rPr>
          <w:rFonts w:cs="Garamond"/>
          <w:color w:val="000000"/>
          <w:szCs w:val="22"/>
          <w:lang w:eastAsia="en-AU"/>
        </w:rPr>
        <w:t>s</w:t>
      </w:r>
      <w:r w:rsidRPr="005B09DD">
        <w:rPr>
          <w:rFonts w:cs="Garamond"/>
          <w:color w:val="000000"/>
          <w:szCs w:val="22"/>
          <w:lang w:eastAsia="en-AU"/>
        </w:rPr>
        <w:t xml:space="preserve"> and</w:t>
      </w:r>
      <w:r>
        <w:rPr>
          <w:rFonts w:cs="Garamond"/>
          <w:color w:val="000000"/>
          <w:szCs w:val="22"/>
          <w:lang w:eastAsia="en-AU"/>
        </w:rPr>
        <w:t xml:space="preserve"> the</w:t>
      </w:r>
      <w:r w:rsidRPr="005B09DD">
        <w:rPr>
          <w:rFonts w:cs="Garamond"/>
          <w:color w:val="000000"/>
          <w:szCs w:val="22"/>
          <w:lang w:eastAsia="en-AU"/>
        </w:rPr>
        <w:t xml:space="preserve"> </w:t>
      </w:r>
      <w:r>
        <w:rPr>
          <w:rFonts w:cs="Garamond"/>
          <w:color w:val="000000"/>
          <w:szCs w:val="22"/>
          <w:lang w:eastAsia="en-AU"/>
        </w:rPr>
        <w:t>Commonwealth Government</w:t>
      </w:r>
      <w:r w:rsidRPr="005B09DD">
        <w:rPr>
          <w:rFonts w:cs="Garamond"/>
          <w:color w:val="000000"/>
          <w:szCs w:val="22"/>
          <w:lang w:eastAsia="en-AU"/>
        </w:rPr>
        <w:t xml:space="preserve"> that will benefit both levels of government.</w:t>
      </w:r>
    </w:p>
    <w:p w:rsidR="00F60B5F" w:rsidRPr="005B09DD" w:rsidRDefault="00F60B5F" w:rsidP="005B09DD">
      <w:pPr>
        <w:autoSpaceDE w:val="0"/>
        <w:autoSpaceDN w:val="0"/>
        <w:adjustRightInd w:val="0"/>
        <w:rPr>
          <w:rFonts w:cs="Garamond"/>
          <w:color w:val="000000"/>
          <w:szCs w:val="22"/>
          <w:lang w:eastAsia="en-AU"/>
        </w:rPr>
      </w:pPr>
      <w:r>
        <w:rPr>
          <w:rFonts w:cs="Garamond"/>
          <w:color w:val="000000"/>
          <w:szCs w:val="22"/>
          <w:lang w:eastAsia="en-AU"/>
        </w:rPr>
        <w:t>A long</w:t>
      </w:r>
      <w:r>
        <w:rPr>
          <w:rFonts w:cs="Garamond"/>
          <w:color w:val="000000"/>
          <w:szCs w:val="22"/>
          <w:lang w:eastAsia="en-AU"/>
        </w:rPr>
        <w:noBreakHyphen/>
      </w:r>
      <w:r w:rsidRPr="005B09DD">
        <w:rPr>
          <w:rFonts w:cs="Garamond"/>
          <w:color w:val="000000"/>
          <w:szCs w:val="22"/>
          <w:lang w:eastAsia="en-AU"/>
        </w:rPr>
        <w:t xml:space="preserve">term weakness in the Australian federation arises from the Commonwealth raising most of the revenue while the states are responsible for providing infrastructure and most service delivery. This leaves states heavily reliant on </w:t>
      </w:r>
      <w:r>
        <w:rPr>
          <w:rFonts w:cs="Garamond"/>
          <w:color w:val="000000"/>
          <w:szCs w:val="22"/>
          <w:lang w:eastAsia="en-AU"/>
        </w:rPr>
        <w:t>goods and services tax (</w:t>
      </w:r>
      <w:r w:rsidRPr="005B09DD">
        <w:rPr>
          <w:rFonts w:cs="Garamond"/>
          <w:color w:val="000000"/>
          <w:szCs w:val="22"/>
          <w:lang w:eastAsia="en-AU"/>
        </w:rPr>
        <w:t>GST</w:t>
      </w:r>
      <w:r>
        <w:rPr>
          <w:rFonts w:cs="Garamond"/>
          <w:color w:val="000000"/>
          <w:szCs w:val="22"/>
          <w:lang w:eastAsia="en-AU"/>
        </w:rPr>
        <w:t>)</w:t>
      </w:r>
      <w:r w:rsidRPr="005B09DD">
        <w:rPr>
          <w:rFonts w:cs="Garamond"/>
          <w:color w:val="000000"/>
          <w:szCs w:val="22"/>
          <w:lang w:eastAsia="en-AU"/>
        </w:rPr>
        <w:t xml:space="preserve"> revenue and other federal transfers, which for Victoria represents around 40</w:t>
      </w:r>
      <w:r>
        <w:rPr>
          <w:rFonts w:cs="Garamond"/>
          <w:color w:val="000000"/>
          <w:szCs w:val="22"/>
          <w:lang w:eastAsia="en-AU"/>
        </w:rPr>
        <w:t> per cent</w:t>
      </w:r>
      <w:r w:rsidRPr="005B09DD">
        <w:rPr>
          <w:rFonts w:cs="Garamond"/>
          <w:color w:val="000000"/>
          <w:szCs w:val="22"/>
          <w:lang w:eastAsia="en-AU"/>
        </w:rPr>
        <w:t xml:space="preserve"> of the State’s revenue. These problems are compounded by the GST distribution, which systematically provides Victoria with less than its per capita share of GST. </w:t>
      </w:r>
    </w:p>
    <w:p w:rsidR="00F60B5F" w:rsidRDefault="00F60B5F">
      <w:pPr>
        <w:spacing w:after="0"/>
        <w:rPr>
          <w:rFonts w:cs="Garamond"/>
          <w:color w:val="000000"/>
          <w:szCs w:val="22"/>
          <w:lang w:eastAsia="en-AU"/>
        </w:rPr>
      </w:pPr>
      <w:r>
        <w:rPr>
          <w:rFonts w:cs="Garamond"/>
          <w:color w:val="000000"/>
          <w:szCs w:val="22"/>
          <w:lang w:eastAsia="en-AU"/>
        </w:rPr>
        <w:br w:type="page"/>
      </w:r>
    </w:p>
    <w:p w:rsidR="00F60B5F" w:rsidRPr="005B09DD" w:rsidRDefault="00F60B5F" w:rsidP="005B09DD">
      <w:pPr>
        <w:autoSpaceDE w:val="0"/>
        <w:autoSpaceDN w:val="0"/>
        <w:adjustRightInd w:val="0"/>
        <w:rPr>
          <w:rFonts w:cs="Garamond"/>
          <w:color w:val="000000"/>
          <w:szCs w:val="22"/>
          <w:lang w:eastAsia="en-AU"/>
        </w:rPr>
      </w:pPr>
      <w:r w:rsidRPr="005B09DD">
        <w:rPr>
          <w:rFonts w:cs="Garamond"/>
          <w:color w:val="000000"/>
          <w:szCs w:val="22"/>
          <w:lang w:eastAsia="en-AU"/>
        </w:rPr>
        <w:t>The Commonwealth can support Victoria to deliver effective services by providing Victoria with a fairer share of</w:t>
      </w:r>
      <w:r>
        <w:rPr>
          <w:rFonts w:cs="Garamond"/>
          <w:color w:val="000000"/>
          <w:szCs w:val="22"/>
          <w:lang w:eastAsia="en-AU"/>
        </w:rPr>
        <w:t>,</w:t>
      </w:r>
      <w:r w:rsidRPr="005B09DD">
        <w:rPr>
          <w:rFonts w:cs="Garamond"/>
          <w:color w:val="000000"/>
          <w:szCs w:val="22"/>
          <w:lang w:eastAsia="en-AU"/>
        </w:rPr>
        <w:t xml:space="preserve"> and certainty around</w:t>
      </w:r>
      <w:r>
        <w:rPr>
          <w:rFonts w:cs="Garamond"/>
          <w:color w:val="000000"/>
          <w:szCs w:val="22"/>
          <w:lang w:eastAsia="en-AU"/>
        </w:rPr>
        <w:t>,</w:t>
      </w:r>
      <w:r w:rsidRPr="005B09DD">
        <w:rPr>
          <w:rFonts w:cs="Garamond"/>
          <w:color w:val="000000"/>
          <w:szCs w:val="22"/>
          <w:lang w:eastAsia="en-AU"/>
        </w:rPr>
        <w:t xml:space="preserve"> state transfers. </w:t>
      </w:r>
    </w:p>
    <w:p w:rsidR="00F60B5F" w:rsidRPr="005B09DD" w:rsidRDefault="00F60B5F" w:rsidP="005B09DD">
      <w:pPr>
        <w:autoSpaceDE w:val="0"/>
        <w:autoSpaceDN w:val="0"/>
        <w:adjustRightInd w:val="0"/>
        <w:rPr>
          <w:rFonts w:cs="Garamond"/>
          <w:color w:val="000000"/>
          <w:szCs w:val="22"/>
          <w:lang w:eastAsia="en-AU"/>
        </w:rPr>
      </w:pPr>
      <w:r w:rsidRPr="005B09DD">
        <w:rPr>
          <w:rFonts w:cs="Garamond"/>
          <w:color w:val="000000"/>
          <w:szCs w:val="22"/>
          <w:lang w:eastAsia="en-AU"/>
        </w:rPr>
        <w:t xml:space="preserve">Achieving this will require reforming the way </w:t>
      </w:r>
      <w:r>
        <w:rPr>
          <w:rFonts w:cs="Garamond"/>
          <w:color w:val="000000"/>
          <w:szCs w:val="22"/>
          <w:lang w:eastAsia="en-AU"/>
        </w:rPr>
        <w:t xml:space="preserve">the </w:t>
      </w:r>
      <w:r w:rsidRPr="005B09DD">
        <w:rPr>
          <w:rFonts w:cs="Garamond"/>
          <w:color w:val="000000"/>
          <w:szCs w:val="22"/>
          <w:lang w:eastAsia="en-AU"/>
        </w:rPr>
        <w:t>GST is distributed among the states by moving to a population based distribution, with smaller states supported by Commonwealth specific purpose payments. This should be coupled with removing Commonwealth duplication and overreach into areas of state responsibility.</w:t>
      </w:r>
    </w:p>
    <w:p w:rsidR="00F60B5F" w:rsidRPr="005B09DD" w:rsidRDefault="00F60B5F" w:rsidP="005B09DD">
      <w:pPr>
        <w:autoSpaceDE w:val="0"/>
        <w:autoSpaceDN w:val="0"/>
        <w:adjustRightInd w:val="0"/>
        <w:rPr>
          <w:rFonts w:cs="Garamond"/>
          <w:color w:val="000000"/>
          <w:szCs w:val="22"/>
          <w:lang w:eastAsia="en-AU"/>
        </w:rPr>
      </w:pPr>
      <w:r w:rsidRPr="005B09DD">
        <w:rPr>
          <w:rFonts w:cs="Garamond"/>
          <w:color w:val="000000"/>
          <w:szCs w:val="22"/>
          <w:lang w:eastAsia="en-AU"/>
        </w:rPr>
        <w:t>In this context, the Commonwealth Government’s white papers on federalism and tax reform provide an opportunity to improve the fiscal sustainability of all levels of government, with an appropriate matching of revenue and service delivery responsibilities.</w:t>
      </w:r>
    </w:p>
    <w:p w:rsidR="00F60B5F" w:rsidRDefault="00F60B5F" w:rsidP="005B09DD">
      <w:pPr>
        <w:autoSpaceDE w:val="0"/>
        <w:autoSpaceDN w:val="0"/>
        <w:adjustRightInd w:val="0"/>
        <w:rPr>
          <w:rFonts w:cs="Garamond"/>
          <w:color w:val="000000"/>
          <w:szCs w:val="22"/>
          <w:lang w:eastAsia="en-AU"/>
        </w:rPr>
      </w:pPr>
      <w:r w:rsidRPr="005B09DD">
        <w:rPr>
          <w:rFonts w:cs="Garamond"/>
          <w:color w:val="000000"/>
          <w:szCs w:val="22"/>
          <w:lang w:eastAsia="en-AU"/>
        </w:rPr>
        <w:t xml:space="preserve">As a critical input to the white papers, the Commonwealth’s Commission of Audit provides an opportunity to reset federal financial relations, and remove administrative duplication and overlap. In recent years, excessive reporting obligations and micro management of service delivery by the Commonwealth, coupled with the transaction costs of dealing with the large number of federal bureaucrats not involved in actual service delivery, has impeded efficient government. </w:t>
      </w:r>
      <w:r>
        <w:rPr>
          <w:rFonts w:cs="Garamond"/>
          <w:color w:val="000000"/>
          <w:szCs w:val="22"/>
          <w:lang w:eastAsia="en-AU"/>
        </w:rPr>
        <w:t>R</w:t>
      </w:r>
      <w:r w:rsidRPr="005B09DD">
        <w:rPr>
          <w:rFonts w:cs="Garamond"/>
          <w:color w:val="000000"/>
          <w:szCs w:val="22"/>
          <w:lang w:eastAsia="en-AU"/>
        </w:rPr>
        <w:t>emoving this inefficiency and waste is a priority of the Victorian Government.</w:t>
      </w:r>
    </w:p>
    <w:p w:rsidR="00F60B5F" w:rsidRPr="00720889" w:rsidRDefault="00F60B5F" w:rsidP="005B09DD">
      <w:pPr>
        <w:autoSpaceDE w:val="0"/>
        <w:autoSpaceDN w:val="0"/>
        <w:adjustRightInd w:val="0"/>
        <w:rPr>
          <w:rFonts w:cs="Garamond"/>
          <w:color w:val="000000"/>
          <w:szCs w:val="22"/>
          <w:lang w:eastAsia="en-AU"/>
        </w:rPr>
      </w:pPr>
    </w:p>
    <w:p w:rsidR="00F60B5F" w:rsidRDefault="00F60B5F" w:rsidP="00856AFF"/>
    <w:p w:rsidR="00F60B5F" w:rsidRDefault="00F60B5F" w:rsidP="00856AFF">
      <w:pPr>
        <w:sectPr w:rsidR="00F60B5F" w:rsidSect="00234682">
          <w:footerReference w:type="even" r:id="rId14"/>
          <w:footerReference w:type="default" r:id="rId15"/>
          <w:type w:val="oddPage"/>
          <w:pgSz w:w="9979" w:h="14181" w:code="138"/>
          <w:pgMar w:top="1138" w:right="1138" w:bottom="1138" w:left="1138" w:header="720" w:footer="720" w:gutter="0"/>
          <w:pgNumType w:start="1"/>
          <w:cols w:space="708"/>
          <w:docGrid w:linePitch="360"/>
        </w:sectPr>
      </w:pPr>
    </w:p>
    <w:p w:rsidR="00F60B5F" w:rsidRDefault="00F60B5F" w:rsidP="009445B6">
      <w:pPr>
        <w:pStyle w:val="ChapterHeading"/>
      </w:pPr>
      <w:bookmarkStart w:id="9" w:name="_Toc374373946"/>
      <w:r>
        <w:t>Chapter 2 – Economic context</w:t>
      </w:r>
      <w:bookmarkEnd w:id="9"/>
    </w:p>
    <w:p w:rsidR="00F60B5F" w:rsidRDefault="00F60B5F" w:rsidP="0001705D">
      <w:pPr>
        <w:pStyle w:val="HighlightBoxBullet"/>
      </w:pPr>
      <w:r>
        <w:t>The Victorian economy</w:t>
      </w:r>
      <w:r w:rsidRPr="00BB3D7D">
        <w:t xml:space="preserve"> </w:t>
      </w:r>
      <w:r>
        <w:t>is</w:t>
      </w:r>
      <w:r w:rsidRPr="00BB3D7D">
        <w:t xml:space="preserve"> adjusting to weaker national demand as a result of </w:t>
      </w:r>
      <w:r>
        <w:t>a fall in</w:t>
      </w:r>
      <w:r w:rsidRPr="00BB3D7D">
        <w:t xml:space="preserve"> mining investment. </w:t>
      </w:r>
      <w:r>
        <w:t>Nonetheless</w:t>
      </w:r>
      <w:r w:rsidRPr="00BB3D7D">
        <w:t xml:space="preserve">, </w:t>
      </w:r>
      <w:r>
        <w:t xml:space="preserve">the fundamentals supporting the Victorian economy remain strong. </w:t>
      </w:r>
      <w:r w:rsidRPr="00BB3D7D">
        <w:t>The State</w:t>
      </w:r>
      <w:r>
        <w:t>’</w:t>
      </w:r>
      <w:r w:rsidRPr="00BB3D7D">
        <w:t xml:space="preserve">s performance </w:t>
      </w:r>
      <w:r>
        <w:t xml:space="preserve">is underpinned by </w:t>
      </w:r>
      <w:r w:rsidRPr="00BB3D7D">
        <w:t>a diverse and flexible economy</w:t>
      </w:r>
      <w:r>
        <w:t xml:space="preserve"> and supported by strength in business </w:t>
      </w:r>
      <w:r w:rsidRPr="0001705D">
        <w:t>and knowledge</w:t>
      </w:r>
      <w:r>
        <w:noBreakHyphen/>
      </w:r>
      <w:r w:rsidRPr="0001705D">
        <w:t xml:space="preserve">based </w:t>
      </w:r>
      <w:r>
        <w:t>services.</w:t>
      </w:r>
    </w:p>
    <w:p w:rsidR="00F60B5F" w:rsidRDefault="00F60B5F" w:rsidP="007E2606">
      <w:pPr>
        <w:pStyle w:val="HighlightBoxBullet"/>
      </w:pPr>
      <w:r>
        <w:t xml:space="preserve">Consumer confidence is rising in a low interest rate environment and the property market continues to show signs of improvement. Unemployment and inflation remain </w:t>
      </w:r>
      <w:r w:rsidRPr="007E2606">
        <w:t>lo</w:t>
      </w:r>
      <w:r>
        <w:t xml:space="preserve">w relative to historical levels and </w:t>
      </w:r>
      <w:r w:rsidRPr="007E2606">
        <w:t>Victoria</w:t>
      </w:r>
      <w:r>
        <w:t>’</w:t>
      </w:r>
      <w:r w:rsidRPr="007E2606">
        <w:t>s labour participation ra</w:t>
      </w:r>
      <w:r>
        <w:t>te is the highest among the non</w:t>
      </w:r>
      <w:r>
        <w:noBreakHyphen/>
      </w:r>
      <w:r w:rsidRPr="007E2606">
        <w:t>mining states.</w:t>
      </w:r>
    </w:p>
    <w:p w:rsidR="00F60B5F" w:rsidRPr="00A8646C" w:rsidRDefault="00F60B5F" w:rsidP="007E2606">
      <w:pPr>
        <w:pStyle w:val="HighlightBoxBullet"/>
      </w:pPr>
      <w:r w:rsidRPr="00A8646C">
        <w:t>Population growth in Victoria has accelerated since the middle of 2011, supported by higher birth rates and greater net overseas migration. Victoria continues to receive a positive net inflow of interstate migrants, unlike other non</w:t>
      </w:r>
      <w:r>
        <w:noBreakHyphen/>
      </w:r>
      <w:r w:rsidRPr="00A8646C">
        <w:t>mining states. In the March quarter of 2013, the State’s population gain and net overseas migration intake were the highest of all the Australian states.</w:t>
      </w:r>
    </w:p>
    <w:p w:rsidR="00F60B5F" w:rsidRPr="00B65F7A" w:rsidRDefault="00F60B5F" w:rsidP="0001705D">
      <w:pPr>
        <w:pStyle w:val="HighlightBoxBullet"/>
      </w:pPr>
      <w:r>
        <w:t>Victorian real gross state product (GSP) in 2013</w:t>
      </w:r>
      <w:r>
        <w:noBreakHyphen/>
        <w:t xml:space="preserve">14 is expected to </w:t>
      </w:r>
      <w:r w:rsidRPr="0001705D">
        <w:t>build on GSP growth of 1.6</w:t>
      </w:r>
      <w:r>
        <w:t> per cent</w:t>
      </w:r>
      <w:r w:rsidRPr="0001705D">
        <w:t xml:space="preserve"> in </w:t>
      </w:r>
      <w:r>
        <w:t>20</w:t>
      </w:r>
      <w:r w:rsidRPr="0001705D">
        <w:t>12</w:t>
      </w:r>
      <w:r>
        <w:noBreakHyphen/>
      </w:r>
      <w:r w:rsidRPr="0001705D">
        <w:t>13, strengthening to 2</w:t>
      </w:r>
      <w:r>
        <w:t> per cent</w:t>
      </w:r>
      <w:r w:rsidRPr="0001705D">
        <w:t>.</w:t>
      </w:r>
      <w:r>
        <w:t xml:space="preserve"> This reflects stronger </w:t>
      </w:r>
      <w:r w:rsidRPr="00FD43DF">
        <w:t>growth in dwelling investment and a larger contribution from international merchandise trade</w:t>
      </w:r>
      <w:r>
        <w:t xml:space="preserve">. Economic growth forecasts in the medium term will return to </w:t>
      </w:r>
      <w:r w:rsidRPr="00B65F7A">
        <w:t>trend of 2.75</w:t>
      </w:r>
      <w:r>
        <w:t> per cent</w:t>
      </w:r>
      <w:r w:rsidRPr="00B65F7A">
        <w:t xml:space="preserve"> a year. </w:t>
      </w:r>
    </w:p>
    <w:p w:rsidR="00F60B5F" w:rsidRPr="00B65F7A" w:rsidRDefault="00F60B5F" w:rsidP="00FB766B">
      <w:pPr>
        <w:pStyle w:val="HighlightBoxBullet"/>
      </w:pPr>
      <w:r>
        <w:t>A</w:t>
      </w:r>
      <w:r w:rsidRPr="00D75BE4">
        <w:t>gainst the backdrop of a still challenging global outlook</w:t>
      </w:r>
      <w:r>
        <w:t>, t</w:t>
      </w:r>
      <w:r w:rsidRPr="00B65F7A">
        <w:t>he Australian real economy is expected to continue to grow a little below trend in the near term as the transition from resource investment</w:t>
      </w:r>
      <w:r>
        <w:noBreakHyphen/>
      </w:r>
      <w:r w:rsidRPr="00B65F7A">
        <w:t>led growth towards broader based growth unfolds.</w:t>
      </w:r>
    </w:p>
    <w:p w:rsidR="00F60B5F" w:rsidRDefault="00F60B5F" w:rsidP="002149A5">
      <w:pPr>
        <w:pStyle w:val="HighlightBoxBullet"/>
      </w:pPr>
      <w:r>
        <w:t>The economic outlook for Victoria is generally positive, although there are a number of short</w:t>
      </w:r>
      <w:r>
        <w:noBreakHyphen/>
        <w:t>term risk</w:t>
      </w:r>
      <w:r w:rsidRPr="00B53CD8">
        <w:t>s</w:t>
      </w:r>
      <w:r>
        <w:t>. While rebounding asset prices,</w:t>
      </w:r>
      <w:r w:rsidRPr="002149A5">
        <w:t xml:space="preserve"> </w:t>
      </w:r>
      <w:r>
        <w:t xml:space="preserve">rising confidence and </w:t>
      </w:r>
      <w:r w:rsidRPr="002149A5">
        <w:t xml:space="preserve">higher population growth </w:t>
      </w:r>
      <w:r>
        <w:t xml:space="preserve">could lead to stronger than expected growth, there is also a risk that </w:t>
      </w:r>
      <w:r w:rsidRPr="002149A5">
        <w:t>a slower pick up in global growth, uncertainty around the national economy</w:t>
      </w:r>
      <w:r>
        <w:t>’</w:t>
      </w:r>
      <w:r w:rsidRPr="002149A5">
        <w:t xml:space="preserve">s strength and enduring business caution </w:t>
      </w:r>
      <w:r>
        <w:t>could dampen activity more than anticipated.</w:t>
      </w:r>
    </w:p>
    <w:p w:rsidR="00F60B5F" w:rsidRDefault="00F60B5F">
      <w:pPr>
        <w:spacing w:after="0"/>
        <w:rPr>
          <w:rFonts w:ascii="Calibri" w:hAnsi="Calibri"/>
          <w:b/>
          <w:caps/>
          <w:sz w:val="26"/>
          <w:szCs w:val="22"/>
        </w:rPr>
      </w:pPr>
      <w:r>
        <w:br w:type="page"/>
      </w:r>
    </w:p>
    <w:p w:rsidR="00F60B5F" w:rsidRDefault="00F60B5F" w:rsidP="006C00BC">
      <w:pPr>
        <w:pStyle w:val="Heading1"/>
      </w:pPr>
      <w:bookmarkStart w:id="10" w:name="_Toc374373947"/>
      <w:r>
        <w:t>Economic overview</w:t>
      </w:r>
      <w:bookmarkEnd w:id="10"/>
    </w:p>
    <w:p w:rsidR="00F60B5F" w:rsidRDefault="00F60B5F" w:rsidP="00B72AA5">
      <w:pPr>
        <w:pStyle w:val="Heading2"/>
      </w:pPr>
      <w:r>
        <w:t>Victorian economic conditions and outlook</w:t>
      </w:r>
    </w:p>
    <w:p w:rsidR="00F60B5F" w:rsidRDefault="00F60B5F" w:rsidP="00BC69B5">
      <w:r>
        <w:t xml:space="preserve">Victoria’s flexible and dynamic economy has been </w:t>
      </w:r>
      <w:r w:rsidRPr="00211DEC">
        <w:t xml:space="preserve">both resilient and adaptable to </w:t>
      </w:r>
      <w:r>
        <w:t xml:space="preserve">constantly </w:t>
      </w:r>
      <w:r w:rsidRPr="00A32E5D">
        <w:t>changing economic circumstances and the outlook remains positive.</w:t>
      </w:r>
      <w:r>
        <w:t xml:space="preserve"> Nevertheless, the local economy is expected to grow more moderately in 2013</w:t>
      </w:r>
      <w:r>
        <w:noBreakHyphen/>
        <w:t>14 than previously forecast. This reflects weaker national demand, as a result of the end of the mining investment boom, with consequential impact on the labour market, wages and prices in 2013</w:t>
      </w:r>
      <w:r>
        <w:noBreakHyphen/>
        <w:t>14 and 2014</w:t>
      </w:r>
      <w:r>
        <w:noBreakHyphen/>
        <w:t xml:space="preserve">15. </w:t>
      </w:r>
    </w:p>
    <w:p w:rsidR="00F60B5F" w:rsidRDefault="00F60B5F" w:rsidP="00BC69B5">
      <w:r>
        <w:t>Despite this challenge, Victoria’s economy is expected to strengthen in 2013</w:t>
      </w:r>
      <w:r>
        <w:noBreakHyphen/>
        <w:t>14 relative to 2012</w:t>
      </w:r>
      <w:r>
        <w:noBreakHyphen/>
        <w:t>13, with gross state product (GSP) forecast to increase by 2 per cent – 0.4 percentage points above GSP growth in 2012</w:t>
      </w:r>
      <w:r>
        <w:noBreakHyphen/>
        <w:t xml:space="preserve">13. This reflects </w:t>
      </w:r>
      <w:r w:rsidRPr="00AD7B50">
        <w:t>stronger growth in dwelling investment</w:t>
      </w:r>
      <w:r>
        <w:t xml:space="preserve"> </w:t>
      </w:r>
      <w:r w:rsidRPr="00AD7B50">
        <w:t>and a larger contribution from international merchandise trade</w:t>
      </w:r>
      <w:r>
        <w:t xml:space="preserve"> partially offset by moderate</w:t>
      </w:r>
      <w:r w:rsidRPr="000D10B6">
        <w:t xml:space="preserve"> household consu</w:t>
      </w:r>
      <w:r>
        <w:t>mption and business investment. From 2014</w:t>
      </w:r>
      <w:r>
        <w:noBreakHyphen/>
        <w:t xml:space="preserve">15, GSP growth is expected to return to trend rate of 2.75 per cent a year. </w:t>
      </w:r>
    </w:p>
    <w:p w:rsidR="00F60B5F" w:rsidRDefault="00F60B5F" w:rsidP="00BC69B5">
      <w:r w:rsidRPr="00811C86">
        <w:t xml:space="preserve">Victorian household consumption is expected to </w:t>
      </w:r>
      <w:r>
        <w:t xml:space="preserve">recover moderately </w:t>
      </w:r>
      <w:r w:rsidRPr="00811C86">
        <w:t>in 2013</w:t>
      </w:r>
      <w:r>
        <w:noBreakHyphen/>
      </w:r>
      <w:r w:rsidRPr="00811C86">
        <w:t xml:space="preserve">14 </w:t>
      </w:r>
      <w:r>
        <w:t xml:space="preserve">after recording subdued growth last </w:t>
      </w:r>
      <w:r w:rsidRPr="00531113">
        <w:t xml:space="preserve">year. Recent slowing in household consumption </w:t>
      </w:r>
      <w:r>
        <w:t>growth occurred</w:t>
      </w:r>
      <w:r w:rsidRPr="00531113">
        <w:t xml:space="preserve"> despite rising consumer sentiment, but was </w:t>
      </w:r>
      <w:r>
        <w:t>consistent</w:t>
      </w:r>
      <w:r w:rsidRPr="00531113">
        <w:t xml:space="preserve"> with weak growth in real labour income in 2012</w:t>
      </w:r>
      <w:r>
        <w:noBreakHyphen/>
      </w:r>
      <w:r w:rsidRPr="00531113">
        <w:t xml:space="preserve">13. </w:t>
      </w:r>
      <w:r>
        <w:t>Successive Reserve Bank of Australia interest rate cuts to record low levels provided a boost to household disposable income but m</w:t>
      </w:r>
      <w:r w:rsidRPr="00531113">
        <w:t>ortgage</w:t>
      </w:r>
      <w:r>
        <w:t xml:space="preserve"> holders have tended to pay down debt rather than increase spending</w:t>
      </w:r>
      <w:r w:rsidRPr="006E110D">
        <w:t>. Gradual improvements in the labour market</w:t>
      </w:r>
      <w:r>
        <w:t xml:space="preserve"> </w:t>
      </w:r>
      <w:r w:rsidRPr="00B53CD8">
        <w:t>through to</w:t>
      </w:r>
      <w:r w:rsidRPr="006E110D">
        <w:t xml:space="preserve"> 2015</w:t>
      </w:r>
      <w:r>
        <w:noBreakHyphen/>
      </w:r>
      <w:r w:rsidRPr="006E110D">
        <w:t>16 and the flow</w:t>
      </w:r>
      <w:r>
        <w:noBreakHyphen/>
      </w:r>
      <w:r w:rsidRPr="006E110D">
        <w:t>through effects</w:t>
      </w:r>
      <w:r>
        <w:t xml:space="preserve"> of increasing financial and property wealth are expected to support a return to trend growth from 2015</w:t>
      </w:r>
      <w:r>
        <w:noBreakHyphen/>
        <w:t>16.</w:t>
      </w:r>
    </w:p>
    <w:p w:rsidR="00F60B5F" w:rsidRDefault="00F60B5F" w:rsidP="00BC69B5">
      <w:r w:rsidRPr="0091116F">
        <w:t xml:space="preserve">The </w:t>
      </w:r>
      <w:r>
        <w:t xml:space="preserve">Victorian </w:t>
      </w:r>
      <w:r w:rsidRPr="0091116F">
        <w:t xml:space="preserve">property market </w:t>
      </w:r>
      <w:r>
        <w:t xml:space="preserve">has </w:t>
      </w:r>
      <w:r w:rsidRPr="0091116F">
        <w:t>improv</w:t>
      </w:r>
      <w:r>
        <w:t>ed</w:t>
      </w:r>
      <w:r w:rsidRPr="0091116F">
        <w:t xml:space="preserve"> with low interest rates encouraging finance commitments</w:t>
      </w:r>
      <w:r>
        <w:t xml:space="preserve">. </w:t>
      </w:r>
      <w:r w:rsidRPr="0091116F">
        <w:t>Melbourne</w:t>
      </w:r>
      <w:r>
        <w:t xml:space="preserve"> house</w:t>
      </w:r>
      <w:r w:rsidRPr="0091116F">
        <w:t xml:space="preserve"> </w:t>
      </w:r>
      <w:r w:rsidRPr="00C936CB">
        <w:t xml:space="preserve">prices have </w:t>
      </w:r>
      <w:r w:rsidRPr="00B53CD8">
        <w:t xml:space="preserve">recovered from </w:t>
      </w:r>
      <w:r>
        <w:t xml:space="preserve">the beginning of 2013, while </w:t>
      </w:r>
      <w:r w:rsidRPr="0091116F">
        <w:t>auction</w:t>
      </w:r>
      <w:r>
        <w:t xml:space="preserve"> clearance rates</w:t>
      </w:r>
      <w:r w:rsidRPr="0091116F">
        <w:t xml:space="preserve"> </w:t>
      </w:r>
      <w:r>
        <w:t>remain solid. The</w:t>
      </w:r>
      <w:r w:rsidRPr="005E1BEA">
        <w:t xml:space="preserve"> </w:t>
      </w:r>
      <w:r>
        <w:t>number of land transfer duty transactions in the September quarter of 2013 wa</w:t>
      </w:r>
      <w:r w:rsidRPr="005E1BEA">
        <w:t>s 13.4</w:t>
      </w:r>
      <w:r>
        <w:t xml:space="preserve"> per cent </w:t>
      </w:r>
      <w:r w:rsidRPr="005E1BEA">
        <w:t>higher than the same period last year.</w:t>
      </w:r>
      <w:r>
        <w:t xml:space="preserve"> Positive sentiment around the real estate market is expected to continue in the near term, with recent data showing an improvement in the value of residential building approvals. </w:t>
      </w:r>
    </w:p>
    <w:p w:rsidR="00F60B5F" w:rsidRDefault="00F60B5F" w:rsidP="00BC69B5">
      <w:r>
        <w:t>Growth in business investment is forecast to be below trend in 2013</w:t>
      </w:r>
      <w:r>
        <w:noBreakHyphen/>
        <w:t>14. Weakness in business</w:t>
      </w:r>
      <w:r w:rsidRPr="00EA1949">
        <w:t xml:space="preserve"> conditions</w:t>
      </w:r>
      <w:r>
        <w:t xml:space="preserve"> and forward orders continue to w</w:t>
      </w:r>
      <w:r w:rsidRPr="00EA1949">
        <w:t xml:space="preserve">eigh on </w:t>
      </w:r>
      <w:r w:rsidRPr="0001705D">
        <w:t>investment decisions</w:t>
      </w:r>
      <w:r>
        <w:t xml:space="preserve"> </w:t>
      </w:r>
      <w:r w:rsidRPr="00EA1949">
        <w:t>in the near</w:t>
      </w:r>
      <w:r>
        <w:t xml:space="preserve"> </w:t>
      </w:r>
      <w:r w:rsidRPr="00EA1949">
        <w:t>term.</w:t>
      </w:r>
      <w:r>
        <w:t xml:space="preserve"> Beyond 2013</w:t>
      </w:r>
      <w:r>
        <w:noBreakHyphen/>
        <w:t xml:space="preserve">14, investment activity is expected to rise more strongly with </w:t>
      </w:r>
      <w:r w:rsidRPr="0085729D">
        <w:t>non</w:t>
      </w:r>
      <w:r>
        <w:noBreakHyphen/>
      </w:r>
      <w:r w:rsidRPr="0085729D">
        <w:t>residential construction support</w:t>
      </w:r>
      <w:r>
        <w:t>ing a</w:t>
      </w:r>
      <w:r w:rsidRPr="0085729D">
        <w:t xml:space="preserve"> return to trend </w:t>
      </w:r>
      <w:r>
        <w:t>gr</w:t>
      </w:r>
      <w:r w:rsidRPr="0085729D">
        <w:t>owth.</w:t>
      </w:r>
      <w:r w:rsidRPr="00BC74B5">
        <w:t xml:space="preserve"> </w:t>
      </w:r>
    </w:p>
    <w:p w:rsidR="00F60B5F" w:rsidRDefault="00F60B5F" w:rsidP="004736F8">
      <w:r>
        <w:t>P</w:t>
      </w:r>
      <w:r w:rsidRPr="00811C86">
        <w:t xml:space="preserve">ublic demand is </w:t>
      </w:r>
      <w:r>
        <w:t>expected</w:t>
      </w:r>
      <w:r w:rsidRPr="00811C86">
        <w:t xml:space="preserve"> to </w:t>
      </w:r>
      <w:r>
        <w:t>pick up moderately in 2013</w:t>
      </w:r>
      <w:r>
        <w:noBreakHyphen/>
        <w:t>14, reflecting the Government’s commitment to infrastructure investment. Forecast increases in population are expected to drive demand for public services, increasing growth in public demand from 2015</w:t>
      </w:r>
      <w:r>
        <w:noBreakHyphen/>
        <w:t>16.</w:t>
      </w:r>
      <w:r w:rsidRPr="004736F8">
        <w:t xml:space="preserve"> </w:t>
      </w:r>
    </w:p>
    <w:p w:rsidR="00F60B5F" w:rsidRDefault="00F60B5F">
      <w:pPr>
        <w:spacing w:after="0"/>
      </w:pPr>
      <w:r>
        <w:br w:type="page"/>
      </w:r>
    </w:p>
    <w:p w:rsidR="00F60B5F" w:rsidRDefault="00F60B5F" w:rsidP="004736F8">
      <w:r w:rsidRPr="00B65F7A">
        <w:t xml:space="preserve">Victoria’s international total exports reached a </w:t>
      </w:r>
      <w:r>
        <w:t>new</w:t>
      </w:r>
      <w:r w:rsidRPr="00B65F7A">
        <w:t xml:space="preserve"> high in 2012</w:t>
      </w:r>
      <w:r>
        <w:noBreakHyphen/>
      </w:r>
      <w:r w:rsidRPr="00B65F7A">
        <w:t>13</w:t>
      </w:r>
      <w:r>
        <w:t xml:space="preserve">, supported by record </w:t>
      </w:r>
      <w:r w:rsidRPr="00B65F7A">
        <w:t>exports of services. Goods exports started to show signs of recovery last year, reflecting the lower Australian dollar and favourable conditions for agricultural production. Driven by food and live</w:t>
      </w:r>
      <w:r>
        <w:t xml:space="preserve">stock </w:t>
      </w:r>
      <w:r w:rsidRPr="00B65F7A">
        <w:t>trade, Victoria’s export of goods increased by 11.3</w:t>
      </w:r>
      <w:r>
        <w:t> per cent</w:t>
      </w:r>
      <w:r w:rsidRPr="00B65F7A">
        <w:t xml:space="preserve"> over the year in the three months to September 2013, recording the third highest growth among the states. Victoria’s increase in international service exports in 2012</w:t>
      </w:r>
      <w:r>
        <w:noBreakHyphen/>
      </w:r>
      <w:r w:rsidRPr="00B65F7A">
        <w:t xml:space="preserve">13 was greater than any increase in the </w:t>
      </w:r>
      <w:r>
        <w:t xml:space="preserve">other </w:t>
      </w:r>
      <w:r w:rsidRPr="00B65F7A">
        <w:t>major states and was driven by strong increases in tourism and business services exports</w:t>
      </w:r>
      <w:r>
        <w:t>.</w:t>
      </w:r>
      <w:r w:rsidRPr="00B65F7A">
        <w:t xml:space="preserve"> The balancing item continues to be a significant contributor to Victorian GSP growth. </w:t>
      </w:r>
      <w:r>
        <w:t>I</w:t>
      </w:r>
      <w:r w:rsidRPr="0019291B">
        <w:t>t grew by 15.8</w:t>
      </w:r>
      <w:r>
        <w:t> per cent in 2012</w:t>
      </w:r>
      <w:r>
        <w:noBreakHyphen/>
        <w:t xml:space="preserve">13, confirming that </w:t>
      </w:r>
      <w:r w:rsidRPr="0019291B">
        <w:t>Victoria’s linkages with the other states remain important to its continued economic prosperity.</w:t>
      </w:r>
    </w:p>
    <w:p w:rsidR="00F60B5F" w:rsidRDefault="00F60B5F" w:rsidP="004736F8">
      <w:r>
        <w:t xml:space="preserve">Prospects for international export volumes remain good and exports are expected to </w:t>
      </w:r>
      <w:r w:rsidRPr="0001705D">
        <w:t>significantly contribute</w:t>
      </w:r>
      <w:r>
        <w:t xml:space="preserve"> to GSP growth in the coming years. The depreciation of the exchange rate since the release of the budget in May, if sustained, is expected to increase demand for exports in 2013</w:t>
      </w:r>
      <w:r>
        <w:noBreakHyphen/>
        <w:t>14. Prospects for exports of services are improving; education exports are expected to recover faster as the weaker Australian dollar boosts competitiveness. A lower Australian dollar and subdued domestic demand are likely to keep import growth modest in 2013</w:t>
      </w:r>
      <w:r>
        <w:noBreakHyphen/>
        <w:t>14 before recovering in 2014</w:t>
      </w:r>
      <w:r>
        <w:noBreakHyphen/>
        <w:t>15. Recent softness in international service imports is expected to persist in 2013</w:t>
      </w:r>
      <w:r>
        <w:noBreakHyphen/>
        <w:t>14 before heading towards trend from 2014</w:t>
      </w:r>
      <w:r>
        <w:noBreakHyphen/>
        <w:t>15.</w:t>
      </w:r>
    </w:p>
    <w:p w:rsidR="00F60B5F" w:rsidRDefault="00F60B5F" w:rsidP="00590A24">
      <w:pPr>
        <w:pStyle w:val="Heading2"/>
      </w:pPr>
      <w:r>
        <w:t>Labour market</w:t>
      </w:r>
    </w:p>
    <w:p w:rsidR="00F60B5F" w:rsidRPr="00D54E96" w:rsidRDefault="00F60B5F" w:rsidP="00D72904">
      <w:r>
        <w:t xml:space="preserve">Victoria’s labour market fundamentals </w:t>
      </w:r>
      <w:r w:rsidRPr="00B53CD8">
        <w:t>are expected to remain</w:t>
      </w:r>
      <w:r>
        <w:t xml:space="preserve"> sound in 2013</w:t>
      </w:r>
      <w:r>
        <w:noBreakHyphen/>
        <w:t>14</w:t>
      </w:r>
      <w:r w:rsidRPr="001F796B">
        <w:t>. The unemployment rate remains low relative</w:t>
      </w:r>
      <w:r w:rsidRPr="00723AC7">
        <w:t xml:space="preserve"> to historical levels</w:t>
      </w:r>
      <w:r>
        <w:t xml:space="preserve"> and Victoria has the</w:t>
      </w:r>
      <w:r w:rsidRPr="00A32E5D">
        <w:t xml:space="preserve"> lowest regional unemployment rate in Australia over the year to September 2013</w:t>
      </w:r>
      <w:r>
        <w:t xml:space="preserve">. </w:t>
      </w:r>
      <w:r w:rsidRPr="00D72904">
        <w:t>Victoria</w:t>
      </w:r>
      <w:r>
        <w:t>’</w:t>
      </w:r>
      <w:r w:rsidRPr="00D72904">
        <w:t>s labour participation rate is the highe</w:t>
      </w:r>
      <w:r>
        <w:t xml:space="preserve">st among the </w:t>
      </w:r>
      <w:r w:rsidRPr="00D54E96">
        <w:t>non</w:t>
      </w:r>
      <w:r>
        <w:noBreakHyphen/>
      </w:r>
      <w:r w:rsidRPr="00D54E96">
        <w:t>mining states</w:t>
      </w:r>
      <w:r w:rsidRPr="00A32E5D">
        <w:t>.</w:t>
      </w:r>
    </w:p>
    <w:p w:rsidR="00F60B5F" w:rsidRDefault="00F60B5F" w:rsidP="00F510B6">
      <w:r w:rsidRPr="00D54E96">
        <w:t>Victorian employment should continue to grow moderately over the next two years, by 1.0</w:t>
      </w:r>
      <w:r>
        <w:t> per cent</w:t>
      </w:r>
      <w:r w:rsidRPr="00D54E96">
        <w:t xml:space="preserve"> in 2013</w:t>
      </w:r>
      <w:r>
        <w:noBreakHyphen/>
      </w:r>
      <w:r w:rsidRPr="00D54E96">
        <w:t>14 and 1.5</w:t>
      </w:r>
      <w:r>
        <w:t> per cent</w:t>
      </w:r>
      <w:r w:rsidRPr="00D54E96">
        <w:t xml:space="preserve"> in 2014</w:t>
      </w:r>
      <w:r>
        <w:noBreakHyphen/>
      </w:r>
      <w:r w:rsidRPr="00D54E96">
        <w:t xml:space="preserve">15. </w:t>
      </w:r>
      <w:r>
        <w:t>E</w:t>
      </w:r>
      <w:r w:rsidRPr="00D54E96">
        <w:t>mployment</w:t>
      </w:r>
      <w:r>
        <w:t xml:space="preserve"> growth</w:t>
      </w:r>
      <w:r w:rsidRPr="00D54E96">
        <w:t xml:space="preserve"> is expected to return to trend </w:t>
      </w:r>
      <w:r>
        <w:t>of 1.75 per cent in</w:t>
      </w:r>
      <w:r w:rsidRPr="00D54E96">
        <w:t xml:space="preserve"> 2015</w:t>
      </w:r>
      <w:r>
        <w:noBreakHyphen/>
      </w:r>
      <w:r w:rsidRPr="00D54E96">
        <w:t>16 as domestic demand picks up</w:t>
      </w:r>
      <w:r w:rsidRPr="00A44804">
        <w:t xml:space="preserve">. Despite expected </w:t>
      </w:r>
      <w:r>
        <w:t>moderation</w:t>
      </w:r>
      <w:r w:rsidRPr="00A44804">
        <w:t xml:space="preserve"> in the labour force participation rate over the forward estimates period, below trend employment growth in the near term will continue to put upward pressure on the unemployment rate.</w:t>
      </w:r>
    </w:p>
    <w:p w:rsidR="00F60B5F" w:rsidRDefault="00F60B5F" w:rsidP="00590A24">
      <w:pPr>
        <w:pStyle w:val="Heading2"/>
      </w:pPr>
      <w:r>
        <w:t>Prices and wages</w:t>
      </w:r>
    </w:p>
    <w:p w:rsidR="00F60B5F" w:rsidRDefault="00F60B5F" w:rsidP="00961232">
      <w:r>
        <w:t>Inflation was contained over 2012</w:t>
      </w:r>
      <w:r>
        <w:noBreakHyphen/>
        <w:t xml:space="preserve">13, partly due to falls in the prices of tradable goods and services offsetting the introduction of the carbon tax in July 2012. Reductions in inflationary expectations in response to weaker consumer demand and softer wage growth are likely to keep inflation </w:t>
      </w:r>
      <w:r w:rsidRPr="003D7F69">
        <w:t>contained in the near term. Forecast inflation in 2014</w:t>
      </w:r>
      <w:r>
        <w:noBreakHyphen/>
      </w:r>
      <w:r w:rsidRPr="003D7F69">
        <w:t>15 is lower due to the slated removal of the carbon tax fr</w:t>
      </w:r>
      <w:r>
        <w:t>om</w:t>
      </w:r>
      <w:r w:rsidRPr="003D7F69">
        <w:t xml:space="preserve"> 1 July 2014.</w:t>
      </w:r>
      <w:r>
        <w:t xml:space="preserve"> </w:t>
      </w:r>
    </w:p>
    <w:p w:rsidR="00F60B5F" w:rsidRDefault="00F60B5F" w:rsidP="00961232">
      <w:r w:rsidRPr="00DB270E">
        <w:t>Annual growth in public sector wages has been below private sector wage growth since 2011</w:t>
      </w:r>
      <w:r>
        <w:t xml:space="preserve">, </w:t>
      </w:r>
      <w:r w:rsidRPr="004F4027">
        <w:t>consistent with</w:t>
      </w:r>
      <w:r w:rsidRPr="00DB270E">
        <w:t xml:space="preserve"> the Victorian Government</w:t>
      </w:r>
      <w:r>
        <w:t>’s commitment to</w:t>
      </w:r>
      <w:r w:rsidRPr="00DB270E">
        <w:t xml:space="preserve"> public sector wage growth restrain</w:t>
      </w:r>
      <w:r>
        <w:t>t</w:t>
      </w:r>
      <w:r w:rsidRPr="00DB270E">
        <w:t xml:space="preserve">. The </w:t>
      </w:r>
      <w:r>
        <w:t>softer near t</w:t>
      </w:r>
      <w:r w:rsidRPr="00DB270E">
        <w:t xml:space="preserve">erm labour market outlook is expected to lead to </w:t>
      </w:r>
      <w:r w:rsidRPr="004F4027">
        <w:t xml:space="preserve">continued </w:t>
      </w:r>
      <w:r w:rsidRPr="00DB270E">
        <w:t>moderate growth in wage rates over the next two years.</w:t>
      </w:r>
    </w:p>
    <w:p w:rsidR="00F60B5F" w:rsidRDefault="00F60B5F" w:rsidP="00590A24">
      <w:pPr>
        <w:pStyle w:val="Heading2"/>
      </w:pPr>
      <w:r>
        <w:t>Population</w:t>
      </w:r>
    </w:p>
    <w:p w:rsidR="00F60B5F" w:rsidRDefault="00F60B5F" w:rsidP="00B72AA5">
      <w:r w:rsidRPr="00FB766B">
        <w:t>Population growth in Victoria has accelerated since the middle of 2011, supported by higher birth rates and greater net overseas migration. Victoria continues to receive a positive net inflow of interstate migrants, unlike other non</w:t>
      </w:r>
      <w:r>
        <w:noBreakHyphen/>
      </w:r>
      <w:r w:rsidRPr="00FB766B">
        <w:t>mining states. In the March quarter of 2013, the State’s population gain and net overseas migration intake were the highest of all the Australian states. For</w:t>
      </w:r>
      <w:r>
        <w:t xml:space="preserve"> this period, </w:t>
      </w:r>
      <w:r w:rsidRPr="00904A7D">
        <w:t>Victoria recorded</w:t>
      </w:r>
      <w:r>
        <w:t xml:space="preserve"> </w:t>
      </w:r>
      <w:r w:rsidRPr="00904A7D">
        <w:t xml:space="preserve">its largest quarterly </w:t>
      </w:r>
      <w:r>
        <w:t xml:space="preserve">net </w:t>
      </w:r>
      <w:r w:rsidRPr="00904A7D">
        <w:t>interstate migration gain</w:t>
      </w:r>
      <w:r>
        <w:t xml:space="preserve"> </w:t>
      </w:r>
      <w:r w:rsidRPr="00904A7D">
        <w:t>since March 2002</w:t>
      </w:r>
      <w:r>
        <w:t>.</w:t>
      </w:r>
      <w:r w:rsidRPr="00904A7D">
        <w:t xml:space="preserve"> </w:t>
      </w:r>
      <w:r>
        <w:t>Recent gains in migration are likely to continue, leading to forecast population growth slightly higher than experienced in recent years.</w:t>
      </w:r>
    </w:p>
    <w:p w:rsidR="00F60B5F" w:rsidRDefault="00F60B5F" w:rsidP="00590A24">
      <w:pPr>
        <w:pStyle w:val="Heading2"/>
      </w:pPr>
      <w:r>
        <w:t>Economic projections</w:t>
      </w:r>
    </w:p>
    <w:p w:rsidR="00F60B5F" w:rsidRDefault="00F60B5F" w:rsidP="00B72AA5">
      <w:r>
        <w:t xml:space="preserve">The economic projections are set out in Table 2.1, with the </w:t>
      </w:r>
      <w:r w:rsidRPr="003F6B4C">
        <w:rPr>
          <w:i/>
        </w:rPr>
        <w:t>2013</w:t>
      </w:r>
      <w:r>
        <w:rPr>
          <w:i/>
        </w:rPr>
        <w:noBreakHyphen/>
      </w:r>
      <w:r w:rsidRPr="003F6B4C">
        <w:rPr>
          <w:i/>
        </w:rPr>
        <w:t>14 Budget</w:t>
      </w:r>
      <w:r>
        <w:t xml:space="preserve"> forecasts in parentheses where different.</w:t>
      </w:r>
    </w:p>
    <w:p w:rsidR="00F60B5F" w:rsidRPr="00DF427C" w:rsidRDefault="00F60B5F" w:rsidP="00D24D06">
      <w:pPr>
        <w:pStyle w:val="Tableheading"/>
        <w:rPr>
          <w:vertAlign w:val="superscript"/>
        </w:rPr>
      </w:pPr>
      <w:r>
        <w:t xml:space="preserve">Table 2.1: </w:t>
      </w:r>
      <w:r>
        <w:tab/>
      </w:r>
      <w:r w:rsidRPr="00DF427C">
        <w:t>Victorian economic projections</w:t>
      </w:r>
      <w:r>
        <w:rPr>
          <w:vertAlign w:val="superscript"/>
        </w:rPr>
        <w:t>(a)(b)</w:t>
      </w:r>
    </w:p>
    <w:p w:rsidR="00F60B5F" w:rsidRPr="00314CBE" w:rsidRDefault="00F60B5F" w:rsidP="00314CBE">
      <w:pPr>
        <w:pStyle w:val="million"/>
      </w:pPr>
      <w:r w:rsidRPr="00DF427C">
        <w:t>(per cent)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60B5F" w:rsidRPr="00314CBE" w:rsidTr="00314CBE">
        <w:tc>
          <w:tcPr>
            <w:tcW w:w="2810" w:type="dxa"/>
            <w:tcBorders>
              <w:top w:val="single" w:sz="4" w:space="0" w:color="auto"/>
              <w:left w:val="single" w:sz="4" w:space="0" w:color="auto"/>
              <w:right w:val="nil"/>
            </w:tcBorders>
            <w:shd w:val="clear" w:color="auto" w:fill="000000"/>
          </w:tcPr>
          <w:p w:rsidR="00F60B5F" w:rsidRPr="00314CBE" w:rsidRDefault="00F60B5F" w:rsidP="00314CBE">
            <w:pPr>
              <w:pStyle w:val="Tabletext"/>
              <w:rPr>
                <w:rFonts w:eastAsiaTheme="minorEastAsia"/>
                <w:lang w:eastAsia="en-AU"/>
              </w:rPr>
            </w:pPr>
            <w:r w:rsidRPr="00314CBE">
              <w:rPr>
                <w:rFonts w:eastAsiaTheme="minorEastAsia"/>
                <w:lang w:eastAsia="en-AU"/>
              </w:rPr>
              <w:t xml:space="preserve"> </w:t>
            </w:r>
          </w:p>
        </w:tc>
        <w:tc>
          <w:tcPr>
            <w:tcW w:w="994" w:type="dxa"/>
            <w:tcBorders>
              <w:top w:val="single" w:sz="4" w:space="0" w:color="auto"/>
              <w:left w:val="nil"/>
              <w:right w:val="nil"/>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2012</w:t>
            </w:r>
            <w:r>
              <w:rPr>
                <w:rFonts w:eastAsiaTheme="minorEastAsia"/>
                <w:lang w:eastAsia="en-AU"/>
              </w:rPr>
              <w:noBreakHyphen/>
            </w:r>
            <w:r w:rsidRPr="00314CBE">
              <w:rPr>
                <w:rFonts w:eastAsiaTheme="minorEastAsia"/>
                <w:lang w:eastAsia="en-AU"/>
              </w:rPr>
              <w:t>13</w:t>
            </w:r>
          </w:p>
        </w:tc>
        <w:tc>
          <w:tcPr>
            <w:tcW w:w="993" w:type="dxa"/>
            <w:tcBorders>
              <w:top w:val="single" w:sz="4" w:space="0" w:color="auto"/>
              <w:left w:val="nil"/>
              <w:right w:val="nil"/>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2013</w:t>
            </w:r>
            <w:r>
              <w:rPr>
                <w:rFonts w:eastAsiaTheme="minorEastAsia"/>
                <w:lang w:eastAsia="en-AU"/>
              </w:rPr>
              <w:noBreakHyphen/>
            </w:r>
            <w:r w:rsidRPr="00314CBE">
              <w:rPr>
                <w:rFonts w:eastAsiaTheme="minorEastAsia"/>
                <w:lang w:eastAsia="en-AU"/>
              </w:rPr>
              <w:t>14</w:t>
            </w:r>
          </w:p>
        </w:tc>
        <w:tc>
          <w:tcPr>
            <w:tcW w:w="993" w:type="dxa"/>
            <w:tcBorders>
              <w:top w:val="single" w:sz="4" w:space="0" w:color="auto"/>
              <w:left w:val="nil"/>
              <w:right w:val="nil"/>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2014</w:t>
            </w:r>
            <w:r>
              <w:rPr>
                <w:rFonts w:eastAsiaTheme="minorEastAsia"/>
                <w:lang w:eastAsia="en-AU"/>
              </w:rPr>
              <w:noBreakHyphen/>
            </w:r>
            <w:r w:rsidRPr="00314CBE">
              <w:rPr>
                <w:rFonts w:eastAsiaTheme="minorEastAsia"/>
                <w:lang w:eastAsia="en-AU"/>
              </w:rPr>
              <w:t>15</w:t>
            </w:r>
          </w:p>
        </w:tc>
        <w:tc>
          <w:tcPr>
            <w:tcW w:w="993" w:type="dxa"/>
            <w:tcBorders>
              <w:top w:val="single" w:sz="4" w:space="0" w:color="auto"/>
              <w:left w:val="nil"/>
              <w:right w:val="nil"/>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2015</w:t>
            </w:r>
            <w:r>
              <w:rPr>
                <w:rFonts w:eastAsiaTheme="minorEastAsia"/>
                <w:lang w:eastAsia="en-AU"/>
              </w:rPr>
              <w:noBreakHyphen/>
            </w:r>
            <w:r w:rsidRPr="00314CBE">
              <w:rPr>
                <w:rFonts w:eastAsiaTheme="minorEastAsia"/>
                <w:lang w:eastAsia="en-AU"/>
              </w:rPr>
              <w:t>16</w:t>
            </w:r>
          </w:p>
        </w:tc>
        <w:tc>
          <w:tcPr>
            <w:tcW w:w="993" w:type="dxa"/>
            <w:tcBorders>
              <w:top w:val="single" w:sz="4" w:space="0" w:color="auto"/>
              <w:left w:val="nil"/>
              <w:right w:val="single" w:sz="4" w:space="0" w:color="auto"/>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2016</w:t>
            </w:r>
            <w:r>
              <w:rPr>
                <w:rFonts w:eastAsiaTheme="minorEastAsia"/>
                <w:lang w:eastAsia="en-AU"/>
              </w:rPr>
              <w:noBreakHyphen/>
            </w:r>
            <w:r w:rsidRPr="00314CBE">
              <w:rPr>
                <w:rFonts w:eastAsiaTheme="minorEastAsia"/>
                <w:lang w:eastAsia="en-AU"/>
              </w:rPr>
              <w:t>17</w:t>
            </w:r>
          </w:p>
        </w:tc>
      </w:tr>
      <w:tr w:rsidR="00F60B5F" w:rsidRPr="00314CBE" w:rsidTr="00314CBE">
        <w:tc>
          <w:tcPr>
            <w:tcW w:w="2810" w:type="dxa"/>
            <w:tcBorders>
              <w:top w:val="nil"/>
              <w:left w:val="single" w:sz="4" w:space="0" w:color="auto"/>
              <w:bottom w:val="single" w:sz="4" w:space="0" w:color="auto"/>
              <w:right w:val="nil"/>
            </w:tcBorders>
            <w:shd w:val="clear" w:color="auto" w:fill="000000"/>
          </w:tcPr>
          <w:p w:rsidR="00F60B5F" w:rsidRPr="00314CBE" w:rsidRDefault="00F60B5F" w:rsidP="00314CBE">
            <w:pPr>
              <w:pStyle w:val="Tabletext"/>
              <w:rPr>
                <w:rFonts w:eastAsiaTheme="minorEastAsia"/>
                <w:lang w:eastAsia="en-AU"/>
              </w:rPr>
            </w:pPr>
            <w:r w:rsidRPr="00314CBE">
              <w:rPr>
                <w:rFonts w:eastAsiaTheme="minorEastAsia"/>
                <w:lang w:eastAsia="en-AU"/>
              </w:rPr>
              <w:t xml:space="preserve"> </w:t>
            </w:r>
          </w:p>
        </w:tc>
        <w:tc>
          <w:tcPr>
            <w:tcW w:w="994" w:type="dxa"/>
            <w:tcBorders>
              <w:top w:val="nil"/>
              <w:left w:val="nil"/>
              <w:bottom w:val="single" w:sz="4" w:space="0" w:color="auto"/>
              <w:right w:val="nil"/>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Forecast</w:t>
            </w:r>
          </w:p>
        </w:tc>
        <w:tc>
          <w:tcPr>
            <w:tcW w:w="993" w:type="dxa"/>
            <w:tcBorders>
              <w:top w:val="nil"/>
              <w:left w:val="nil"/>
              <w:bottom w:val="single" w:sz="4" w:space="0" w:color="auto"/>
              <w:right w:val="nil"/>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Forecast</w:t>
            </w:r>
          </w:p>
        </w:tc>
        <w:tc>
          <w:tcPr>
            <w:tcW w:w="993" w:type="dxa"/>
            <w:tcBorders>
              <w:top w:val="nil"/>
              <w:left w:val="nil"/>
              <w:bottom w:val="single" w:sz="4" w:space="0" w:color="auto"/>
              <w:right w:val="nil"/>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Forecast</w:t>
            </w:r>
          </w:p>
        </w:tc>
        <w:tc>
          <w:tcPr>
            <w:tcW w:w="993" w:type="dxa"/>
            <w:tcBorders>
              <w:top w:val="nil"/>
              <w:left w:val="nil"/>
              <w:bottom w:val="single" w:sz="4" w:space="0" w:color="auto"/>
              <w:right w:val="single" w:sz="4" w:space="0" w:color="auto"/>
            </w:tcBorders>
            <w:shd w:val="clear" w:color="auto" w:fill="000000"/>
          </w:tcPr>
          <w:p w:rsidR="00F60B5F" w:rsidRPr="00314CBE" w:rsidRDefault="00F60B5F" w:rsidP="00314CBE">
            <w:pPr>
              <w:pStyle w:val="Tabletextheading"/>
              <w:rPr>
                <w:rFonts w:eastAsiaTheme="minorEastAsia"/>
                <w:lang w:eastAsia="en-AU"/>
              </w:rPr>
            </w:pPr>
            <w:r w:rsidRPr="00314CBE">
              <w:rPr>
                <w:rFonts w:eastAsiaTheme="minorEastAsia"/>
                <w:lang w:eastAsia="en-AU"/>
              </w:rPr>
              <w:t>Forecast</w:t>
            </w:r>
          </w:p>
        </w:tc>
      </w:tr>
      <w:tr w:rsidR="00F60B5F" w:rsidRPr="00314CBE" w:rsidTr="00314CBE">
        <w:tc>
          <w:tcPr>
            <w:tcW w:w="2810" w:type="dxa"/>
            <w:tcBorders>
              <w:top w:val="single" w:sz="4" w:space="0" w:color="auto"/>
              <w:left w:val="nil"/>
              <w:bottom w:val="nil"/>
              <w:right w:val="nil"/>
            </w:tcBorders>
          </w:tcPr>
          <w:p w:rsidR="00F60B5F" w:rsidRPr="00314CBE" w:rsidRDefault="00F60B5F" w:rsidP="00314CBE">
            <w:pPr>
              <w:pStyle w:val="Tabletext"/>
              <w:rPr>
                <w:rFonts w:eastAsiaTheme="minorEastAsia"/>
                <w:color w:val="000000"/>
                <w:lang w:eastAsia="en-AU"/>
              </w:rPr>
            </w:pPr>
            <w:r w:rsidRPr="00314CBE">
              <w:rPr>
                <w:rFonts w:eastAsiaTheme="minorEastAsia"/>
                <w:color w:val="000000"/>
                <w:lang w:eastAsia="en-AU"/>
              </w:rPr>
              <w:t>Real gross state product</w:t>
            </w:r>
          </w:p>
        </w:tc>
        <w:tc>
          <w:tcPr>
            <w:tcW w:w="994" w:type="dxa"/>
            <w:tcBorders>
              <w:top w:val="single" w:sz="4" w:space="0" w:color="auto"/>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1.6</w:t>
            </w:r>
          </w:p>
        </w:tc>
        <w:tc>
          <w:tcPr>
            <w:tcW w:w="993" w:type="dxa"/>
            <w:tcBorders>
              <w:top w:val="single" w:sz="4" w:space="0" w:color="auto"/>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2.00</w:t>
            </w:r>
          </w:p>
        </w:tc>
        <w:tc>
          <w:tcPr>
            <w:tcW w:w="993" w:type="dxa"/>
            <w:tcBorders>
              <w:top w:val="single" w:sz="4" w:space="0" w:color="auto"/>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2.75</w:t>
            </w:r>
          </w:p>
        </w:tc>
        <w:tc>
          <w:tcPr>
            <w:tcW w:w="993" w:type="dxa"/>
            <w:tcBorders>
              <w:top w:val="single" w:sz="4" w:space="0" w:color="auto"/>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2.75</w:t>
            </w:r>
          </w:p>
        </w:tc>
        <w:tc>
          <w:tcPr>
            <w:tcW w:w="993" w:type="dxa"/>
            <w:tcBorders>
              <w:top w:val="single" w:sz="4" w:space="0" w:color="auto"/>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2.75</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lang w:eastAsia="en-AU"/>
              </w:rPr>
            </w:pPr>
            <w:r w:rsidRPr="00314CBE">
              <w:rPr>
                <w:rFonts w:eastAsiaTheme="minorEastAsia"/>
                <w:color w:val="000000"/>
                <w:lang w:eastAsia="en-AU"/>
              </w:rPr>
              <w:t xml:space="preserve"> </w:t>
            </w:r>
          </w:p>
        </w:tc>
        <w:tc>
          <w:tcPr>
            <w:tcW w:w="994" w:type="dxa"/>
            <w:tcBorders>
              <w:top w:val="nil"/>
              <w:left w:val="nil"/>
              <w:bottom w:val="nil"/>
              <w:right w:val="nil"/>
            </w:tcBorders>
          </w:tcPr>
          <w:p w:rsidR="00F60B5F" w:rsidRPr="00314CBE" w:rsidRDefault="00F60B5F" w:rsidP="00314CBE">
            <w:pPr>
              <w:pStyle w:val="TableofFigures"/>
              <w:rPr>
                <w:rFonts w:eastAsiaTheme="minorEastAsia" w:cs="Calibri"/>
                <w:color w:val="000000"/>
                <w:lang w:eastAsia="en-AU"/>
              </w:rPr>
            </w:pPr>
            <w:r w:rsidRPr="00314CBE">
              <w:rPr>
                <w:rFonts w:eastAsiaTheme="minorEastAsia"/>
                <w:color w:val="000000"/>
                <w:lang w:eastAsia="en-AU"/>
              </w:rPr>
              <w:t>(</w:t>
            </w:r>
            <w:r w:rsidRPr="00314CBE">
              <w:rPr>
                <w:rFonts w:eastAsiaTheme="minorEastAsia" w:cs="Calibri"/>
                <w:color w:val="000000"/>
                <w:lang w:eastAsia="en-AU"/>
              </w:rPr>
              <w:t>1.50)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(2.25)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lang w:eastAsia="en-AU"/>
              </w:rPr>
            </w:pPr>
            <w:r w:rsidRPr="00314CBE">
              <w:rPr>
                <w:rFonts w:eastAsiaTheme="minorEastAsia"/>
                <w:color w:val="000000"/>
                <w:lang w:eastAsia="en-AU"/>
              </w:rPr>
              <w:t>Employment</w:t>
            </w: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0.9</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1.00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1.75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1.50</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lang w:eastAsia="en-AU"/>
              </w:rPr>
            </w:pPr>
            <w:r w:rsidRPr="00314CBE">
              <w:rPr>
                <w:rFonts w:eastAsiaTheme="minorEastAsia"/>
                <w:color w:val="000000"/>
                <w:lang w:eastAsia="en-AU"/>
              </w:rPr>
              <w:t xml:space="preserve"> </w:t>
            </w: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(0.50)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(1.75)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vertAlign w:val="superscript"/>
                <w:lang w:eastAsia="en-AU"/>
              </w:rPr>
            </w:pPr>
            <w:r w:rsidRPr="00314CBE">
              <w:rPr>
                <w:rFonts w:eastAsiaTheme="minorEastAsia"/>
                <w:color w:val="000000"/>
                <w:lang w:eastAsia="en-AU"/>
              </w:rPr>
              <w:t xml:space="preserve">Unemployment rate </w:t>
            </w:r>
            <w:r w:rsidRPr="00314CBE">
              <w:rPr>
                <w:rFonts w:eastAsiaTheme="minorEastAsia"/>
                <w:color w:val="000000"/>
                <w:vertAlign w:val="superscript"/>
                <w:lang w:eastAsia="en-AU"/>
              </w:rPr>
              <w:t>(c)</w:t>
            </w: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5.6</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6.00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5.75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5.50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5.00</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lang w:eastAsia="en-AU"/>
              </w:rPr>
            </w:pPr>
            <w:r w:rsidRPr="00314CBE">
              <w:rPr>
                <w:rFonts w:eastAsiaTheme="minorEastAsia"/>
                <w:color w:val="000000"/>
                <w:lang w:eastAsia="en-AU"/>
              </w:rPr>
              <w:t xml:space="preserve"> </w:t>
            </w: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(5.75)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(5.50)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(5.25)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(5.00)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lang w:eastAsia="en-AU"/>
              </w:rPr>
            </w:pPr>
            <w:r w:rsidRPr="00314CBE">
              <w:rPr>
                <w:rFonts w:eastAsiaTheme="minorEastAsia"/>
                <w:color w:val="000000"/>
                <w:lang w:eastAsia="en-AU"/>
              </w:rPr>
              <w:t>Consumer price index</w:t>
            </w: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2.2</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2.25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2.50</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lang w:eastAsia="en-AU"/>
              </w:rPr>
            </w:pPr>
            <w:r w:rsidRPr="00314CBE">
              <w:rPr>
                <w:rFonts w:eastAsiaTheme="minorEastAsia"/>
                <w:color w:val="000000"/>
                <w:lang w:eastAsia="en-AU"/>
              </w:rPr>
              <w:t xml:space="preserve"> </w:t>
            </w: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(2.25)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(2.50)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vertAlign w:val="superscript"/>
                <w:lang w:eastAsia="en-AU"/>
              </w:rPr>
            </w:pPr>
            <w:r w:rsidRPr="00314CBE">
              <w:rPr>
                <w:rFonts w:eastAsiaTheme="minorEastAsia"/>
                <w:color w:val="000000"/>
                <w:lang w:eastAsia="en-AU"/>
              </w:rPr>
              <w:t xml:space="preserve">Wage price index </w:t>
            </w:r>
            <w:r w:rsidRPr="00314CBE">
              <w:rPr>
                <w:rFonts w:eastAsiaTheme="minorEastAsia"/>
                <w:color w:val="000000"/>
                <w:vertAlign w:val="superscript"/>
                <w:lang w:eastAsia="en-AU"/>
              </w:rPr>
              <w:t>(d)</w:t>
            </w: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3.3</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3.00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3.25</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3.50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3.50</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lang w:eastAsia="en-AU"/>
              </w:rPr>
            </w:pP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(3.50)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(3.50)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(3.50)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vertAlign w:val="superscript"/>
                <w:lang w:eastAsia="en-AU"/>
              </w:rPr>
            </w:pPr>
            <w:r w:rsidRPr="00314CBE">
              <w:rPr>
                <w:rFonts w:eastAsiaTheme="minorEastAsia"/>
                <w:color w:val="000000"/>
                <w:lang w:eastAsia="en-AU"/>
              </w:rPr>
              <w:t xml:space="preserve">Population </w:t>
            </w:r>
            <w:r w:rsidRPr="00314CBE">
              <w:rPr>
                <w:rFonts w:eastAsiaTheme="minorEastAsia"/>
                <w:color w:val="000000"/>
                <w:vertAlign w:val="superscript"/>
                <w:lang w:eastAsia="en-AU"/>
              </w:rPr>
              <w:t>(e)</w:t>
            </w: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vertAlign w:val="superscript"/>
                <w:lang w:eastAsia="en-AU"/>
              </w:rPr>
            </w:pPr>
            <w:r w:rsidRPr="00314CBE">
              <w:rPr>
                <w:rFonts w:eastAsiaTheme="minorEastAsia"/>
                <w:color w:val="000000"/>
                <w:lang w:eastAsia="en-AU"/>
              </w:rPr>
              <w:t>1.80</w:t>
            </w:r>
            <w:r w:rsidRPr="00F60B5F">
              <w:rPr>
                <w:rFonts w:eastAsiaTheme="minorEastAsia"/>
                <w:color w:val="000000"/>
                <w:vertAlign w:val="superscript"/>
                <w:lang w:eastAsia="en-AU"/>
              </w:rPr>
              <w:t xml:space="preserve"> </w:t>
            </w:r>
            <w:r w:rsidRPr="00314CBE">
              <w:rPr>
                <w:rFonts w:eastAsiaTheme="minorEastAsia"/>
                <w:color w:val="000000"/>
                <w:vertAlign w:val="superscript"/>
                <w:lang w:eastAsia="en-AU"/>
              </w:rPr>
              <w:t>(f)</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1.70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1.70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1.70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1.70</w:t>
            </w:r>
          </w:p>
        </w:tc>
      </w:tr>
      <w:tr w:rsidR="00F60B5F" w:rsidRPr="00314CBE" w:rsidTr="00314CBE">
        <w:tc>
          <w:tcPr>
            <w:tcW w:w="2810" w:type="dxa"/>
            <w:tcBorders>
              <w:top w:val="nil"/>
              <w:left w:val="nil"/>
              <w:bottom w:val="nil"/>
              <w:right w:val="nil"/>
            </w:tcBorders>
          </w:tcPr>
          <w:p w:rsidR="00F60B5F" w:rsidRPr="00314CBE" w:rsidRDefault="00F60B5F" w:rsidP="00314CBE">
            <w:pPr>
              <w:pStyle w:val="Tabletext"/>
              <w:rPr>
                <w:rFonts w:eastAsiaTheme="minorEastAsia"/>
                <w:color w:val="000000"/>
                <w:lang w:eastAsia="en-AU"/>
              </w:rPr>
            </w:pPr>
          </w:p>
        </w:tc>
        <w:tc>
          <w:tcPr>
            <w:tcW w:w="994"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(1.70)</w:t>
            </w: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c>
          <w:tcPr>
            <w:tcW w:w="993" w:type="dxa"/>
            <w:tcBorders>
              <w:top w:val="nil"/>
              <w:left w:val="nil"/>
              <w:bottom w:val="nil"/>
              <w:right w:val="nil"/>
            </w:tcBorders>
          </w:tcPr>
          <w:p w:rsidR="00F60B5F" w:rsidRPr="00314CBE" w:rsidRDefault="00F60B5F" w:rsidP="00314CBE">
            <w:pPr>
              <w:pStyle w:val="TableofFigures"/>
              <w:rPr>
                <w:rFonts w:eastAsiaTheme="minorEastAsia"/>
                <w:color w:val="000000"/>
                <w:lang w:eastAsia="en-AU"/>
              </w:rPr>
            </w:pPr>
          </w:p>
        </w:tc>
      </w:tr>
      <w:tr w:rsidR="00F60B5F" w:rsidRPr="00314CBE" w:rsidTr="00314CBE">
        <w:trPr>
          <w:trHeight w:hRule="exact" w:val="120"/>
        </w:trPr>
        <w:tc>
          <w:tcPr>
            <w:tcW w:w="2810" w:type="dxa"/>
            <w:tcBorders>
              <w:top w:val="nil"/>
              <w:left w:val="nil"/>
              <w:bottom w:val="single" w:sz="12" w:space="0" w:color="auto"/>
              <w:right w:val="nil"/>
            </w:tcBorders>
          </w:tcPr>
          <w:p w:rsidR="00F60B5F" w:rsidRPr="00314CBE" w:rsidRDefault="00F60B5F" w:rsidP="00314CBE">
            <w:pPr>
              <w:pStyle w:val="Tabletext"/>
              <w:rPr>
                <w:rFonts w:eastAsiaTheme="minorEastAsia"/>
                <w:color w:val="000000"/>
                <w:lang w:eastAsia="en-AU"/>
              </w:rPr>
            </w:pPr>
            <w:r w:rsidRPr="00314CBE">
              <w:rPr>
                <w:rFonts w:eastAsiaTheme="minorEastAsia"/>
                <w:color w:val="000000"/>
                <w:lang w:eastAsia="en-AU"/>
              </w:rPr>
              <w:t xml:space="preserve"> </w:t>
            </w:r>
          </w:p>
        </w:tc>
        <w:tc>
          <w:tcPr>
            <w:tcW w:w="994" w:type="dxa"/>
            <w:tcBorders>
              <w:top w:val="nil"/>
              <w:left w:val="nil"/>
              <w:bottom w:val="single" w:sz="12" w:space="0" w:color="auto"/>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60B5F" w:rsidRPr="00314CBE" w:rsidRDefault="00F60B5F" w:rsidP="00314CBE">
            <w:pPr>
              <w:pStyle w:val="TableofFigures"/>
              <w:rPr>
                <w:rFonts w:eastAsiaTheme="minorEastAsia"/>
                <w:color w:val="000000"/>
                <w:lang w:eastAsia="en-AU"/>
              </w:rPr>
            </w:pPr>
            <w:r w:rsidRPr="00314CBE">
              <w:rPr>
                <w:rFonts w:eastAsiaTheme="minorEastAsia"/>
                <w:color w:val="000000"/>
                <w:lang w:eastAsia="en-AU"/>
              </w:rPr>
              <w:t xml:space="preserve"> </w:t>
            </w:r>
          </w:p>
        </w:tc>
      </w:tr>
    </w:tbl>
    <w:p w:rsidR="00F60B5F" w:rsidRPr="00A355E0" w:rsidRDefault="00F60B5F" w:rsidP="00A355E0">
      <w:pPr>
        <w:pStyle w:val="Source"/>
      </w:pPr>
      <w:r w:rsidRPr="00A355E0">
        <w:t>Sources: Australian Bureau of Statistics; Department of Treasury and Finance</w:t>
      </w:r>
    </w:p>
    <w:p w:rsidR="00F60B5F" w:rsidRPr="00DF427C" w:rsidRDefault="00F60B5F" w:rsidP="00D24D06">
      <w:pPr>
        <w:pStyle w:val="Notes"/>
      </w:pPr>
      <w:r w:rsidRPr="00DF427C">
        <w:t>Notes:</w:t>
      </w:r>
    </w:p>
    <w:p w:rsidR="00F60B5F" w:rsidRPr="00DF427C" w:rsidRDefault="00F60B5F" w:rsidP="00D24D06">
      <w:pPr>
        <w:pStyle w:val="Notes"/>
      </w:pPr>
      <w:r w:rsidRPr="00DF427C">
        <w:t>(a)</w:t>
      </w:r>
      <w:r w:rsidRPr="00DF427C">
        <w:tab/>
        <w:t>Year</w:t>
      </w:r>
      <w:r>
        <w:noBreakHyphen/>
      </w:r>
      <w:r w:rsidRPr="00DF427C">
        <w:t>average</w:t>
      </w:r>
      <w:r>
        <w:t> per cent</w:t>
      </w:r>
      <w:r w:rsidRPr="00DF427C">
        <w:t xml:space="preserve"> change on previous year unless otherwise indicated. All economic projections are rounded to the nearest 0.25 percentage point, except population projections, which are rounded to the nearest 0.1 percentage point.</w:t>
      </w:r>
    </w:p>
    <w:p w:rsidR="00F60B5F" w:rsidRPr="00DF427C" w:rsidRDefault="00F60B5F" w:rsidP="00B72F0D">
      <w:pPr>
        <w:pStyle w:val="Notes"/>
      </w:pPr>
      <w:r w:rsidRPr="00DF427C">
        <w:t>(b)</w:t>
      </w:r>
      <w:r w:rsidRPr="00DF427C">
        <w:tab/>
      </w:r>
      <w:r>
        <w:t>A</w:t>
      </w:r>
      <w:r w:rsidRPr="00DF427C">
        <w:t>ssumptions underlying the economic projections include: interest rates following the forecasts prepared by the Treasury Corporation of Victoria up to the June quarter 201</w:t>
      </w:r>
      <w:r>
        <w:t>4</w:t>
      </w:r>
      <w:r w:rsidRPr="00DF427C">
        <w:t xml:space="preserve"> and held constant thereafter; exchange rates are held constant; and oil prices follow the path suggested by oil futures.</w:t>
      </w:r>
    </w:p>
    <w:p w:rsidR="00F60B5F" w:rsidRPr="00DF427C" w:rsidRDefault="00F60B5F" w:rsidP="00A74993">
      <w:pPr>
        <w:pStyle w:val="Notes"/>
      </w:pPr>
      <w:r>
        <w:t>(c</w:t>
      </w:r>
      <w:r w:rsidRPr="00DF427C">
        <w:t>)</w:t>
      </w:r>
      <w:r w:rsidRPr="00DF427C">
        <w:tab/>
        <w:t>Year</w:t>
      </w:r>
      <w:r>
        <w:noBreakHyphen/>
      </w:r>
      <w:r w:rsidRPr="00DF427C">
        <w:t>average,</w:t>
      </w:r>
      <w:r>
        <w:t> per cent</w:t>
      </w:r>
      <w:r w:rsidRPr="00DF427C">
        <w:t>.</w:t>
      </w:r>
    </w:p>
    <w:p w:rsidR="00F60B5F" w:rsidRPr="00DF427C" w:rsidRDefault="00F60B5F" w:rsidP="00D24D06">
      <w:pPr>
        <w:pStyle w:val="Notes"/>
      </w:pPr>
      <w:r>
        <w:t>(d</w:t>
      </w:r>
      <w:r w:rsidRPr="00DF427C">
        <w:t>)</w:t>
      </w:r>
      <w:r w:rsidRPr="00DF427C">
        <w:tab/>
        <w:t>Total hourly rate excluding bonuses.</w:t>
      </w:r>
    </w:p>
    <w:p w:rsidR="00F60B5F" w:rsidRDefault="00F60B5F" w:rsidP="00D24D06">
      <w:pPr>
        <w:pStyle w:val="Notes"/>
      </w:pPr>
      <w:r>
        <w:t>(e</w:t>
      </w:r>
      <w:r w:rsidRPr="00DF427C">
        <w:t>)</w:t>
      </w:r>
      <w:r w:rsidRPr="00DF427C">
        <w:tab/>
        <w:t>June quarter,</w:t>
      </w:r>
      <w:r>
        <w:t> per cent</w:t>
      </w:r>
      <w:r w:rsidRPr="00DF427C">
        <w:t xml:space="preserve"> change on previous June quarter.</w:t>
      </w:r>
    </w:p>
    <w:p w:rsidR="00F60B5F" w:rsidRPr="00DF427C" w:rsidRDefault="00F60B5F" w:rsidP="00314CBE">
      <w:pPr>
        <w:pStyle w:val="Notes"/>
      </w:pPr>
      <w:r w:rsidRPr="00DF427C">
        <w:t>(</w:t>
      </w:r>
      <w:r>
        <w:t>f</w:t>
      </w:r>
      <w:r w:rsidRPr="00DF427C">
        <w:t>)</w:t>
      </w:r>
      <w:r w:rsidRPr="00DF427C">
        <w:tab/>
        <w:t>Esti</w:t>
      </w:r>
      <w:r>
        <w:t>mate, actual not yet available.</w:t>
      </w:r>
    </w:p>
    <w:p w:rsidR="00F60B5F" w:rsidRDefault="00F60B5F">
      <w:pPr>
        <w:spacing w:after="0"/>
        <w:rPr>
          <w:rFonts w:ascii="Calibri" w:hAnsi="Calibri"/>
          <w:b/>
          <w:kern w:val="28"/>
          <w:sz w:val="26"/>
          <w:szCs w:val="22"/>
        </w:rPr>
      </w:pPr>
      <w:r>
        <w:br w:type="page"/>
      </w:r>
    </w:p>
    <w:p w:rsidR="00F60B5F" w:rsidRDefault="00F60B5F" w:rsidP="00590A24">
      <w:pPr>
        <w:pStyle w:val="Heading2"/>
      </w:pPr>
      <w:r>
        <w:t>Australian economic conditions</w:t>
      </w:r>
    </w:p>
    <w:p w:rsidR="00F60B5F" w:rsidRPr="00EB0CC0" w:rsidRDefault="00F60B5F" w:rsidP="003606D3">
      <w:r>
        <w:t>The Australian economy grew slightly below trend in 2012</w:t>
      </w:r>
      <w:r>
        <w:noBreakHyphen/>
        <w:t xml:space="preserve">13, </w:t>
      </w:r>
      <w:r w:rsidRPr="004D3260">
        <w:t xml:space="preserve">mainly owing to modest growth in household consumption and public final demand. </w:t>
      </w:r>
      <w:r w:rsidRPr="007657E0">
        <w:t xml:space="preserve">While </w:t>
      </w:r>
      <w:r>
        <w:t>the outlook remains positive,</w:t>
      </w:r>
      <w:r w:rsidRPr="007657E0">
        <w:t xml:space="preserve"> </w:t>
      </w:r>
      <w:r>
        <w:t>managing the end of the resources investment peak will be the key near</w:t>
      </w:r>
      <w:r>
        <w:noBreakHyphen/>
        <w:t xml:space="preserve">term economic challenge facing Australia. The resources sector will continue to contribute to growth as it transitions to the production and exports phase, however higher exports are not expected to fully offset the impact on growth of the decline in resources investment. </w:t>
      </w:r>
      <w:r w:rsidRPr="00FB766B">
        <w:t>The Australian economy is expected to transition away from resource investment</w:t>
      </w:r>
      <w:r>
        <w:noBreakHyphen/>
      </w:r>
      <w:r w:rsidRPr="00FB766B">
        <w:t>led growth towards broader based growth, against the backdrop of a still challenging global outlook. The Australian real economy is expected to continue to grow a little below trend in the near term as the transition unfolds.</w:t>
      </w:r>
    </w:p>
    <w:p w:rsidR="00F60B5F" w:rsidRDefault="00F60B5F" w:rsidP="003606D3">
      <w:pPr>
        <w:pStyle w:val="Heading2"/>
      </w:pPr>
      <w:r>
        <w:t>International economic conditions</w:t>
      </w:r>
    </w:p>
    <w:p w:rsidR="00F60B5F" w:rsidRDefault="00F60B5F" w:rsidP="00540308">
      <w:r>
        <w:t>T</w:t>
      </w:r>
      <w:r w:rsidRPr="004D2A00">
        <w:t>he</w:t>
      </w:r>
      <w:r>
        <w:t xml:space="preserve"> outlook for the international economy remains challenging with global growth expected to remain below trend in 2013. The International Monetary Fund’s October 2013 </w:t>
      </w:r>
      <w:r w:rsidRPr="00ED1396">
        <w:rPr>
          <w:i/>
        </w:rPr>
        <w:t xml:space="preserve">World Economic Outlook </w:t>
      </w:r>
      <w:r w:rsidRPr="000B06AF">
        <w:t>fo</w:t>
      </w:r>
      <w:r>
        <w:t>recast growth in the world economy of 2.9 per cent in 2013, down from 3.1 per cent forecast in July. Similarly, the forecast for 2014 has been downgraded to 3.6 per cent from 3.8 per cent, suggesting that world growth remains tepid, but is expected to improve over the coming 12 months.</w:t>
      </w:r>
    </w:p>
    <w:p w:rsidR="00F60B5F" w:rsidRDefault="00F60B5F" w:rsidP="003744A5">
      <w:r>
        <w:t xml:space="preserve">Most of the pickup in growth in 2014 is expected to be driven by advanced economies. Strengthening activity in Japan and encouraging prospects for the United States and the euro area </w:t>
      </w:r>
      <w:r w:rsidRPr="007B3640">
        <w:t xml:space="preserve">are being offset by moderating growth in </w:t>
      </w:r>
      <w:r>
        <w:t xml:space="preserve">some </w:t>
      </w:r>
      <w:r w:rsidRPr="007B3640">
        <w:t>emerging economies, including</w:t>
      </w:r>
      <w:r>
        <w:t xml:space="preserve"> </w:t>
      </w:r>
      <w:r w:rsidRPr="007B3640">
        <w:t xml:space="preserve">Indonesia and Brazil. Chinese growth has stabilised at </w:t>
      </w:r>
      <w:r>
        <w:t xml:space="preserve">around </w:t>
      </w:r>
      <w:r w:rsidRPr="007B3640">
        <w:t>7.5</w:t>
      </w:r>
      <w:r>
        <w:t> per cent, which is</w:t>
      </w:r>
      <w:r w:rsidRPr="007B3640">
        <w:t xml:space="preserve"> a little lower than the pre</w:t>
      </w:r>
      <w:r>
        <w:noBreakHyphen/>
      </w:r>
      <w:r w:rsidRPr="007B3640">
        <w:t xml:space="preserve">global financial crisis trend. </w:t>
      </w:r>
      <w:r>
        <w:t>G</w:t>
      </w:r>
      <w:r w:rsidRPr="007B3640">
        <w:t>lobal growth is expected to rise over the forecast period, underpinned by improving</w:t>
      </w:r>
      <w:r>
        <w:t xml:space="preserve"> prospects in advanced economies and still solid growth in emerging Asian economies.</w:t>
      </w:r>
    </w:p>
    <w:p w:rsidR="00F60B5F" w:rsidRDefault="00F60B5F" w:rsidP="00540308">
      <w:r>
        <w:t>Changes in expectations about United States’ monetary policy have led to a broad</w:t>
      </w:r>
      <w:r>
        <w:noBreakHyphen/>
        <w:t>based appreciation of the US dollar since April. These changes have contributed to a significant depreciation of the Australian dollar. In trade</w:t>
      </w:r>
      <w:r>
        <w:noBreakHyphen/>
        <w:t xml:space="preserve">weighted terms the Australian dollar is around </w:t>
      </w:r>
      <w:r w:rsidRPr="00531113">
        <w:t>11</w:t>
      </w:r>
      <w:r>
        <w:t xml:space="preserve"> per cent lower than the high reached just prior to </w:t>
      </w:r>
      <w:r w:rsidRPr="007B3640">
        <w:t>the release of the budget in May.</w:t>
      </w:r>
      <w:r>
        <w:t xml:space="preserve"> This follows a period where the currency had been relatively stable despite the decline in the terms of trade and a narrowing of interest rate differentials. </w:t>
      </w:r>
    </w:p>
    <w:p w:rsidR="00F60B5F" w:rsidRDefault="00F60B5F" w:rsidP="007D0FD2">
      <w:pPr>
        <w:pStyle w:val="Heading1"/>
      </w:pPr>
      <w:bookmarkStart w:id="11" w:name="_Toc374373948"/>
      <w:r>
        <w:t>Risks to the outlook</w:t>
      </w:r>
      <w:bookmarkEnd w:id="11"/>
    </w:p>
    <w:p w:rsidR="00F60B5F" w:rsidRDefault="00F60B5F" w:rsidP="00C23237">
      <w:r>
        <w:t xml:space="preserve">The economic outlook is generally positive. However, there are a number of risks to Victoria’s growth, which are on balance weighted to the downside in the short term. These centre around growing concerns of a slower pick up in global growth, uncertainty around the national economy’s strength and enduring business caution. </w:t>
      </w:r>
    </w:p>
    <w:p w:rsidR="00F60B5F" w:rsidRDefault="00F60B5F" w:rsidP="00B94AC2">
      <w:pPr>
        <w:spacing w:after="0"/>
      </w:pPr>
      <w:r>
        <w:t>The International Monetary Fund expects global activity to strengthen moderately next year but notes that the risks to the global economy remain on the downside. While advanced economies will grow gradually, emerging market economies are expected to face the dual challenges of slowing growth and tighter global financial conditions.</w:t>
      </w:r>
    </w:p>
    <w:p w:rsidR="00F60B5F" w:rsidRDefault="00F60B5F" w:rsidP="00C23237">
      <w:r>
        <w:t>Domestically, a deterioration in growth in Victoria’s major trading partners could be reflected in reduced demand for Victoria’s international exports. Weaker growth in emerging Asian economies could also indirectly hinder Victorian trade with the mining states. International and national uncertainty could lead to weaker local business and consumer confidence. This could soften consumer spending and business investment, leading to a further slowing in employment.</w:t>
      </w:r>
    </w:p>
    <w:p w:rsidR="00F60B5F" w:rsidRDefault="00F60B5F" w:rsidP="00C23237">
      <w:r>
        <w:t>The key upside risks stem from rebounding asset prices and associated wealth and confidence effects. Sustained higher population growth and a stronger recovery in housing activity could lead to the economy recovering more quickly than currently anticipated. The current high rates of household savings and strength in consumer confidence could lead to increases in consumer spending exceeding growth in incomes which could also benefit the economy.</w:t>
      </w:r>
    </w:p>
    <w:p w:rsidR="00F60B5F" w:rsidRDefault="00F60B5F" w:rsidP="00127365">
      <w:r>
        <w:t>A significant fall in the Australian dollar, should it occur, would provide both benefits and challenges for the Victorian economy. Further falls in the Australian dollar would put upward pressure on the inflation rate. However, on the upside, it would assist trade exposed sectors of the economy by boosting Victoria’s competitiveness and may provide the impetus for improved investment and employment growth.</w:t>
      </w:r>
    </w:p>
    <w:p w:rsidR="00F60B5F" w:rsidRDefault="00F60B5F" w:rsidP="00127365"/>
    <w:p w:rsidR="00F60B5F" w:rsidRDefault="00F60B5F" w:rsidP="00856AFF"/>
    <w:p w:rsidR="00F60B5F" w:rsidRDefault="00F60B5F" w:rsidP="00856AFF">
      <w:pPr>
        <w:sectPr w:rsidR="00F60B5F" w:rsidSect="006C00BC">
          <w:footerReference w:type="even" r:id="rId16"/>
          <w:footerReference w:type="default" r:id="rId17"/>
          <w:type w:val="oddPage"/>
          <w:pgSz w:w="9979" w:h="14181" w:code="138"/>
          <w:pgMar w:top="1138" w:right="1138" w:bottom="1138" w:left="1138" w:header="720" w:footer="720" w:gutter="0"/>
          <w:cols w:space="708"/>
          <w:docGrid w:linePitch="360"/>
        </w:sectPr>
      </w:pPr>
    </w:p>
    <w:p w:rsidR="00F60B5F" w:rsidRDefault="00F60B5F" w:rsidP="00167733">
      <w:pPr>
        <w:pStyle w:val="ChapterHeading"/>
      </w:pPr>
      <w:bookmarkStart w:id="12" w:name="_Toc374373949"/>
      <w:r w:rsidRPr="008F300A">
        <w:t>Chapter 3 – Budget position and outlook</w:t>
      </w:r>
      <w:bookmarkEnd w:id="12"/>
    </w:p>
    <w:p w:rsidR="00F60B5F" w:rsidRDefault="00F60B5F" w:rsidP="008F300A">
      <w:pPr>
        <w:pStyle w:val="HighlightBoxBullet"/>
      </w:pPr>
      <w:r>
        <w:t>Victoria’s public finances are the strongest in Australia. Victoria is the only state to hold a triple</w:t>
      </w:r>
      <w:r>
        <w:noBreakHyphen/>
        <w:t xml:space="preserve">A credit rating with a stable outlook from both major international credit rating agencies. This reflects the Government’s resolve to restore responsible management of the State’s finances despite challenging fiscal conditions. </w:t>
      </w:r>
    </w:p>
    <w:p w:rsidR="00F60B5F" w:rsidRPr="00461BF9" w:rsidRDefault="00F60B5F" w:rsidP="008F300A">
      <w:pPr>
        <w:pStyle w:val="HighlightBoxBullet"/>
      </w:pPr>
      <w:r>
        <w:t xml:space="preserve">Victoria is the only Australian state forecasting budget surpluses over the next four </w:t>
      </w:r>
      <w:r w:rsidRPr="00461BF9">
        <w:t>years with the general government sector estimated operating surplus growing from $222</w:t>
      </w:r>
      <w:r>
        <w:t> million</w:t>
      </w:r>
      <w:r w:rsidRPr="00461BF9">
        <w:t xml:space="preserve"> in 2013</w:t>
      </w:r>
      <w:r>
        <w:noBreakHyphen/>
      </w:r>
      <w:r w:rsidRPr="00461BF9">
        <w:t>14 to $2.7</w:t>
      </w:r>
      <w:r>
        <w:t> billion</w:t>
      </w:r>
      <w:r w:rsidRPr="00461BF9">
        <w:t xml:space="preserve"> in 2016</w:t>
      </w:r>
      <w:r>
        <w:noBreakHyphen/>
      </w:r>
      <w:r w:rsidRPr="00461BF9">
        <w:t>17. The Government’s operating s</w:t>
      </w:r>
      <w:r>
        <w:t>urpluses will fund productivity</w:t>
      </w:r>
      <w:r>
        <w:noBreakHyphen/>
      </w:r>
      <w:r w:rsidRPr="00461BF9">
        <w:t xml:space="preserve">enhancing infrastructure and create capacity to weather future revenue shocks. </w:t>
      </w:r>
    </w:p>
    <w:p w:rsidR="00F60B5F" w:rsidRPr="00461BF9" w:rsidRDefault="00F60B5F" w:rsidP="008F300A">
      <w:pPr>
        <w:pStyle w:val="HighlightBoxBullet"/>
      </w:pPr>
      <w:r w:rsidRPr="00461BF9">
        <w:t>Expense growth pressures have been managed soundly with operating expenses projected to grow by 2.2</w:t>
      </w:r>
      <w:r>
        <w:t> per cent</w:t>
      </w:r>
      <w:r w:rsidRPr="00461BF9">
        <w:t xml:space="preserve"> a year on average over the budget and forward estimates period. This is a further decrease from the 3.2</w:t>
      </w:r>
      <w:r>
        <w:t> per cent</w:t>
      </w:r>
      <w:r w:rsidRPr="00461BF9">
        <w:t xml:space="preserve"> a year average expense growth over the past three years and the 8.0</w:t>
      </w:r>
      <w:r>
        <w:t> per cent</w:t>
      </w:r>
      <w:r w:rsidRPr="00461BF9">
        <w:t xml:space="preserve"> average in the decade to 2009</w:t>
      </w:r>
      <w:r>
        <w:noBreakHyphen/>
      </w:r>
      <w:r w:rsidRPr="00461BF9">
        <w:t xml:space="preserve">10. </w:t>
      </w:r>
    </w:p>
    <w:p w:rsidR="00F60B5F" w:rsidRDefault="00F60B5F" w:rsidP="008F300A">
      <w:pPr>
        <w:pStyle w:val="HighlightBoxBullet"/>
      </w:pPr>
      <w:r w:rsidRPr="00461BF9">
        <w:t>Government infrastructure investment is projected to be $5.8</w:t>
      </w:r>
      <w:r>
        <w:t> billion</w:t>
      </w:r>
      <w:r w:rsidRPr="00461BF9">
        <w:t xml:space="preserve"> in 2013</w:t>
      </w:r>
      <w:r>
        <w:noBreakHyphen/>
        <w:t>14, and </w:t>
      </w:r>
      <w:r w:rsidRPr="00461BF9">
        <w:t>$5.0</w:t>
      </w:r>
      <w:r>
        <w:t> billion</w:t>
      </w:r>
      <w:r w:rsidRPr="00461BF9">
        <w:t xml:space="preserve"> a year on average over the forward estimates period, in line with the Government’s infrastructure investment parameter</w:t>
      </w:r>
      <w:r>
        <w:t>.</w:t>
      </w:r>
    </w:p>
    <w:p w:rsidR="00F60B5F" w:rsidRDefault="00F60B5F" w:rsidP="008F300A">
      <w:pPr>
        <w:pStyle w:val="HighlightBoxBullet"/>
      </w:pPr>
      <w:r>
        <w:t xml:space="preserve">Consistent with the </w:t>
      </w:r>
      <w:r w:rsidRPr="00CB3ECF">
        <w:rPr>
          <w:i/>
        </w:rPr>
        <w:t>2013</w:t>
      </w:r>
      <w:r>
        <w:rPr>
          <w:i/>
        </w:rPr>
        <w:noBreakHyphen/>
      </w:r>
      <w:r w:rsidRPr="00CB3ECF">
        <w:rPr>
          <w:i/>
        </w:rPr>
        <w:t>14 Budget</w:t>
      </w:r>
      <w:r>
        <w:t>, the Government is on track to fully fund its infrastructure program without additional borrowing from 2015</w:t>
      </w:r>
      <w:r>
        <w:noBreakHyphen/>
        <w:t>16 onwards. As a result, net debt is projected to decline both nominally and as a percentage of gross state product (GSP) from June 2015.</w:t>
      </w:r>
    </w:p>
    <w:p w:rsidR="00F60B5F" w:rsidRPr="00E258CD" w:rsidRDefault="00F60B5F" w:rsidP="008F300A">
      <w:pPr>
        <w:pStyle w:val="HighlightBoxBullet"/>
      </w:pPr>
      <w:r w:rsidRPr="00E258CD">
        <w:t>The non</w:t>
      </w:r>
      <w:r>
        <w:noBreakHyphen/>
      </w:r>
      <w:r w:rsidRPr="00E258CD">
        <w:t xml:space="preserve">financial public </w:t>
      </w:r>
      <w:r>
        <w:t xml:space="preserve">(NFP) </w:t>
      </w:r>
      <w:r w:rsidRPr="00E258CD">
        <w:t>sector is projected to return to an operating surplus from 2014</w:t>
      </w:r>
      <w:r>
        <w:noBreakHyphen/>
      </w:r>
      <w:r w:rsidRPr="00E258CD">
        <w:t>15 onwards, mainly reflecting stronger operating performances in the general government</w:t>
      </w:r>
      <w:r>
        <w:t xml:space="preserve"> sector</w:t>
      </w:r>
      <w:r w:rsidRPr="00E258CD">
        <w:t>. The public non</w:t>
      </w:r>
      <w:r>
        <w:noBreakHyphen/>
      </w:r>
      <w:r w:rsidRPr="00E258CD">
        <w:t xml:space="preserve">financial sector </w:t>
      </w:r>
      <w:r>
        <w:t xml:space="preserve"> </w:t>
      </w:r>
      <w:r w:rsidRPr="00E258CD">
        <w:t>has constrained expenditure growth to ensure it remains in a strong and sustainable position.</w:t>
      </w:r>
    </w:p>
    <w:p w:rsidR="00F60B5F" w:rsidRPr="00E258CD" w:rsidRDefault="00F60B5F" w:rsidP="008F300A">
      <w:pPr>
        <w:pStyle w:val="HighlightBoxBullet"/>
      </w:pPr>
      <w:r>
        <w:t xml:space="preserve">NFP sector </w:t>
      </w:r>
      <w:r w:rsidRPr="00E258CD">
        <w:t>net debt as a proportion of GSP is projected to decline to 9.</w:t>
      </w:r>
      <w:r>
        <w:t>9 per cent</w:t>
      </w:r>
      <w:r w:rsidRPr="00E258CD">
        <w:t xml:space="preserve"> by 30 June 2017. This will help support the State’s triple</w:t>
      </w:r>
      <w:r>
        <w:noBreakHyphen/>
      </w:r>
      <w:r w:rsidRPr="00E258CD">
        <w:t>A credit rating.</w:t>
      </w:r>
    </w:p>
    <w:p w:rsidR="00F60B5F" w:rsidRPr="00472219" w:rsidRDefault="00F60B5F" w:rsidP="008F300A">
      <w:pPr>
        <w:pStyle w:val="HighlightBoxBullet"/>
      </w:pPr>
      <w:r>
        <w:t>The public financial corporations sector is projected to generate strong and sustainable surpluses averaging $602 million over the budget and forward estimates period.</w:t>
      </w:r>
    </w:p>
    <w:p w:rsidR="00F60B5F" w:rsidRPr="00DF427C" w:rsidRDefault="00F60B5F" w:rsidP="00CC4CE3">
      <w:r w:rsidRPr="00DF427C">
        <w:br w:type="page"/>
        <w:t xml:space="preserve">This chapter presents the financial position of the public sector, incorporating the general government sector, the </w:t>
      </w:r>
      <w:r>
        <w:t>public non</w:t>
      </w:r>
      <w:r>
        <w:noBreakHyphen/>
        <w:t>financial corporations (</w:t>
      </w:r>
      <w:r w:rsidRPr="00DF427C">
        <w:t>PNFC</w:t>
      </w:r>
      <w:r>
        <w:t>)</w:t>
      </w:r>
      <w:r w:rsidRPr="00DF427C">
        <w:t xml:space="preserve"> sector and the public financial corporations (PFC) sector. The estimates take account of policy decisions of the Victorian Government, revisions to Commonwealth Government funding and other information that affects the financial </w:t>
      </w:r>
      <w:r w:rsidRPr="00F426F0">
        <w:t>statements as at 2 December 2013, unless</w:t>
      </w:r>
      <w:r w:rsidRPr="00DF427C">
        <w:t xml:space="preserve"> otherwise stated.</w:t>
      </w:r>
    </w:p>
    <w:p w:rsidR="00F60B5F" w:rsidRPr="00DF427C" w:rsidRDefault="00F60B5F" w:rsidP="00CC4CE3">
      <w:pPr>
        <w:rPr>
          <w:i/>
        </w:rPr>
      </w:pPr>
      <w:r w:rsidRPr="00DF427C">
        <w:t xml:space="preserve">Specific policy decisions approved since the </w:t>
      </w:r>
      <w:r w:rsidRPr="00DF427C">
        <w:rPr>
          <w:i/>
        </w:rPr>
        <w:t>201</w:t>
      </w:r>
      <w:r>
        <w:rPr>
          <w:i/>
        </w:rPr>
        <w:t>3</w:t>
      </w:r>
      <w:r>
        <w:rPr>
          <w:i/>
        </w:rPr>
        <w:noBreakHyphen/>
      </w:r>
      <w:r w:rsidRPr="00DF427C">
        <w:rPr>
          <w:i/>
        </w:rPr>
        <w:t>1</w:t>
      </w:r>
      <w:r>
        <w:rPr>
          <w:i/>
        </w:rPr>
        <w:t>4</w:t>
      </w:r>
      <w:r w:rsidRPr="00DF427C">
        <w:rPr>
          <w:i/>
        </w:rPr>
        <w:t xml:space="preserve"> Budget</w:t>
      </w:r>
      <w:r w:rsidRPr="00DF427C">
        <w:t xml:space="preserve"> that affect the budget position are summarised in </w:t>
      </w:r>
      <w:r w:rsidRPr="000B394D">
        <w:t>Appendix A</w:t>
      </w:r>
      <w:r w:rsidRPr="00DF427C">
        <w:t xml:space="preserve"> </w:t>
      </w:r>
      <w:r w:rsidRPr="00DF427C">
        <w:rPr>
          <w:i/>
        </w:rPr>
        <w:t>Specific policy initiatives affecting budget position</w:t>
      </w:r>
      <w:r w:rsidRPr="00DF427C">
        <w:t>.</w:t>
      </w:r>
    </w:p>
    <w:p w:rsidR="00F60B5F" w:rsidRPr="00DF427C" w:rsidRDefault="00F60B5F" w:rsidP="00CC4CE3">
      <w:pPr>
        <w:pStyle w:val="Heading1"/>
      </w:pPr>
      <w:bookmarkStart w:id="13" w:name="_Toc374373950"/>
      <w:r w:rsidRPr="00DF427C">
        <w:t>General government sector</w:t>
      </w:r>
      <w:bookmarkEnd w:id="13"/>
    </w:p>
    <w:p w:rsidR="00F60B5F" w:rsidRDefault="00F60B5F" w:rsidP="00CC4CE3">
      <w:pPr>
        <w:pStyle w:val="Heading2"/>
      </w:pPr>
      <w:r w:rsidRPr="00DF427C">
        <w:t>Overview</w:t>
      </w:r>
    </w:p>
    <w:p w:rsidR="00F60B5F" w:rsidRDefault="00F60B5F" w:rsidP="00CC4CE3">
      <w:r>
        <w:t xml:space="preserve">The </w:t>
      </w:r>
      <w:r w:rsidRPr="00F37EF2">
        <w:rPr>
          <w:i/>
        </w:rPr>
        <w:t>2013</w:t>
      </w:r>
      <w:r>
        <w:rPr>
          <w:i/>
        </w:rPr>
        <w:noBreakHyphen/>
      </w:r>
      <w:r w:rsidRPr="00F37EF2">
        <w:rPr>
          <w:i/>
        </w:rPr>
        <w:t>14 Budget Update</w:t>
      </w:r>
      <w:r>
        <w:t xml:space="preserve"> continues the Government’s policy of delivering operating surpluses that generate sufficient cash flows to invest in infrastructure while prudently managing net debt.</w:t>
      </w:r>
    </w:p>
    <w:p w:rsidR="00F60B5F" w:rsidRPr="00CB2759" w:rsidRDefault="00F60B5F" w:rsidP="00CC4CE3">
      <w:r>
        <w:t xml:space="preserve">Since the </w:t>
      </w:r>
      <w:r w:rsidRPr="009375A1">
        <w:rPr>
          <w:i/>
        </w:rPr>
        <w:t>2013</w:t>
      </w:r>
      <w:r>
        <w:rPr>
          <w:i/>
        </w:rPr>
        <w:noBreakHyphen/>
      </w:r>
      <w:r w:rsidRPr="009375A1">
        <w:rPr>
          <w:i/>
        </w:rPr>
        <w:t>14 Budget</w:t>
      </w:r>
      <w:r>
        <w:t>, the State’s finances have faced both upside and downside pressures to the forecast operating result. State taxation is broadly unchanged with the expected recovery in land transfer duty primarily offset by below</w:t>
      </w:r>
      <w:r>
        <w:noBreakHyphen/>
        <w:t>trend growth in other components of the tax base. Increases to GST revenue and lower superannuation expense have been partly offset by some agency cost pressures</w:t>
      </w:r>
      <w:r w:rsidRPr="000808DE">
        <w:t xml:space="preserve"> </w:t>
      </w:r>
      <w:r>
        <w:t xml:space="preserve">and lower investment income. </w:t>
      </w:r>
    </w:p>
    <w:p w:rsidR="00F60B5F" w:rsidRDefault="00F60B5F" w:rsidP="00CC4CE3">
      <w:r>
        <w:t xml:space="preserve">The Government continues to focus on restraining expense growth. Faced with average expense growth </w:t>
      </w:r>
      <w:r w:rsidRPr="00ED37E3">
        <w:t>of 8.0</w:t>
      </w:r>
      <w:r>
        <w:t> per cent</w:t>
      </w:r>
      <w:r w:rsidRPr="00ED37E3">
        <w:t xml:space="preserve"> </w:t>
      </w:r>
      <w:r>
        <w:t xml:space="preserve">a year </w:t>
      </w:r>
      <w:r w:rsidRPr="00ED37E3">
        <w:t xml:space="preserve">over the </w:t>
      </w:r>
      <w:r>
        <w:t xml:space="preserve">previous </w:t>
      </w:r>
      <w:r w:rsidRPr="00ED37E3">
        <w:t>decade to 2009</w:t>
      </w:r>
      <w:r>
        <w:noBreakHyphen/>
      </w:r>
      <w:r w:rsidRPr="00ED37E3">
        <w:t xml:space="preserve">10, the Government has </w:t>
      </w:r>
      <w:r>
        <w:t>kept average</w:t>
      </w:r>
      <w:r w:rsidRPr="00ED37E3">
        <w:t xml:space="preserve"> </w:t>
      </w:r>
      <w:r>
        <w:t xml:space="preserve">expense </w:t>
      </w:r>
      <w:r w:rsidRPr="00ED37E3">
        <w:t>growth to 3.2</w:t>
      </w:r>
      <w:r>
        <w:t> per cent</w:t>
      </w:r>
      <w:r w:rsidRPr="00ED37E3">
        <w:t xml:space="preserve"> </w:t>
      </w:r>
      <w:r>
        <w:t xml:space="preserve">a year </w:t>
      </w:r>
      <w:r w:rsidRPr="00ED37E3">
        <w:t xml:space="preserve">over the past </w:t>
      </w:r>
      <w:r>
        <w:t>three</w:t>
      </w:r>
      <w:r w:rsidRPr="00ED37E3">
        <w:t xml:space="preserve"> years</w:t>
      </w:r>
      <w:r>
        <w:t xml:space="preserve"> and forecast expense growth</w:t>
      </w:r>
      <w:r w:rsidRPr="00ED37E3">
        <w:t xml:space="preserve"> over the budget</w:t>
      </w:r>
      <w:r>
        <w:t xml:space="preserve"> and forward estimates period is expected to </w:t>
      </w:r>
      <w:r w:rsidRPr="00461BF9">
        <w:t>be 2.2</w:t>
      </w:r>
      <w:r>
        <w:t xml:space="preserve"> per cent a year on average. Chart 3.1 highlights the Government’s success in placing expense growth on a sustainable footing. </w:t>
      </w:r>
    </w:p>
    <w:p w:rsidR="00F60B5F" w:rsidRDefault="00F60B5F" w:rsidP="00CC4CE3">
      <w:pPr>
        <w:pStyle w:val="Chartheading"/>
      </w:pPr>
      <w:r>
        <w:t>Chart 3.1:</w:t>
      </w:r>
      <w:r>
        <w:tab/>
        <w:t>Annual average expenditure growth</w:t>
      </w:r>
      <w:r w:rsidRPr="00FF74AD">
        <w:rPr>
          <w:vertAlign w:val="superscript"/>
        </w:rPr>
        <w:t xml:space="preserve"> (a)</w:t>
      </w:r>
    </w:p>
    <w:p w:rsidR="00F60B5F" w:rsidRDefault="005B6C02" w:rsidP="00167733">
      <w:pPr>
        <w:pStyle w:val="Chartpara"/>
      </w:pPr>
      <w:r>
        <w:pict>
          <v:shape id="_x0000_i1026" type="#_x0000_t75" style="width:382.7pt;height:271.55pt">
            <v:imagedata r:id="rId18" o:title=""/>
          </v:shape>
        </w:pict>
      </w:r>
    </w:p>
    <w:p w:rsidR="00F60B5F" w:rsidRDefault="00F60B5F" w:rsidP="00167733">
      <w:pPr>
        <w:pStyle w:val="Source"/>
        <w:rPr>
          <w:rStyle w:val="NotesChar"/>
        </w:rPr>
      </w:pPr>
      <w:r>
        <w:t>Source: Department of Treasury and Finance</w:t>
      </w:r>
    </w:p>
    <w:p w:rsidR="00F60B5F" w:rsidRPr="00C65D14" w:rsidRDefault="00F60B5F" w:rsidP="00165450">
      <w:pPr>
        <w:pStyle w:val="Notes"/>
        <w:rPr>
          <w:rStyle w:val="NotesChar"/>
        </w:rPr>
      </w:pPr>
      <w:r w:rsidRPr="00C65D14">
        <w:rPr>
          <w:rStyle w:val="NotesChar"/>
        </w:rPr>
        <w:t>Note:</w:t>
      </w:r>
    </w:p>
    <w:p w:rsidR="00F60B5F" w:rsidRPr="008A19A5" w:rsidRDefault="00F60B5F" w:rsidP="008A19A5">
      <w:pPr>
        <w:pStyle w:val="Notes"/>
        <w:rPr>
          <w:rStyle w:val="NotesChar"/>
          <w:i/>
        </w:rPr>
      </w:pPr>
      <w:r w:rsidRPr="008A19A5">
        <w:rPr>
          <w:rStyle w:val="NotesChar"/>
        </w:rPr>
        <w:t>(a)</w:t>
      </w:r>
      <w:r w:rsidRPr="008A19A5">
        <w:rPr>
          <w:rStyle w:val="NotesChar"/>
        </w:rPr>
        <w:tab/>
      </w:r>
      <w:r w:rsidRPr="008A19A5">
        <w:t>The estimated expense growth for 2013</w:t>
      </w:r>
      <w:r>
        <w:noBreakHyphen/>
      </w:r>
      <w:r w:rsidRPr="008A19A5">
        <w:t xml:space="preserve">14 and average estimated expense growth over the budget and forward estimates period exclude the impact of the revised AASB 119 </w:t>
      </w:r>
      <w:r w:rsidRPr="008A19A5">
        <w:rPr>
          <w:i w:val="0"/>
        </w:rPr>
        <w:t>Employee Benefit</w:t>
      </w:r>
      <w:r w:rsidRPr="008A19A5">
        <w:t>s</w:t>
      </w:r>
      <w:r w:rsidRPr="008A19A5">
        <w:rPr>
          <w:rStyle w:val="NotesChar"/>
        </w:rPr>
        <w:t>.</w:t>
      </w:r>
    </w:p>
    <w:p w:rsidR="00F60B5F" w:rsidRPr="00FF74AD" w:rsidRDefault="00F60B5F" w:rsidP="00FF74AD">
      <w:pPr>
        <w:pStyle w:val="Notes"/>
      </w:pPr>
    </w:p>
    <w:p w:rsidR="00F60B5F" w:rsidRPr="00461BF9" w:rsidRDefault="00F60B5F" w:rsidP="00CC4CE3">
      <w:r>
        <w:t xml:space="preserve">As cost pressures remain, the Government will remain vigilant in delivering services and infrastructure in a financially sustainable manner. The </w:t>
      </w:r>
      <w:r w:rsidRPr="00E572B7">
        <w:rPr>
          <w:i/>
        </w:rPr>
        <w:t>2013</w:t>
      </w:r>
      <w:r>
        <w:rPr>
          <w:i/>
        </w:rPr>
        <w:noBreakHyphen/>
        <w:t>14 </w:t>
      </w:r>
      <w:r w:rsidRPr="00E572B7">
        <w:rPr>
          <w:i/>
        </w:rPr>
        <w:t xml:space="preserve">Budget </w:t>
      </w:r>
      <w:r w:rsidRPr="00461BF9">
        <w:rPr>
          <w:i/>
        </w:rPr>
        <w:t>Update</w:t>
      </w:r>
      <w:r w:rsidRPr="00461BF9">
        <w:t xml:space="preserve"> introduces modest revenue </w:t>
      </w:r>
      <w:r>
        <w:t>measures</w:t>
      </w:r>
      <w:r w:rsidRPr="00461BF9">
        <w:t xml:space="preserve"> to support the State’s revenue base and keep net debt projections on track with the Government’s medium</w:t>
      </w:r>
      <w:r>
        <w:noBreakHyphen/>
      </w:r>
      <w:r w:rsidRPr="00461BF9">
        <w:t>term fiscal strategy. As a result of these measures, the revised operating result for 2013</w:t>
      </w:r>
      <w:r>
        <w:noBreakHyphen/>
      </w:r>
      <w:r w:rsidRPr="00461BF9">
        <w:t>14 is $222</w:t>
      </w:r>
      <w:r>
        <w:t> million</w:t>
      </w:r>
      <w:r w:rsidRPr="00461BF9">
        <w:t>, increasing to $2.7</w:t>
      </w:r>
      <w:r>
        <w:t> billion</w:t>
      </w:r>
      <w:r w:rsidRPr="00461BF9">
        <w:t xml:space="preserve"> by 2016</w:t>
      </w:r>
      <w:r>
        <w:noBreakHyphen/>
      </w:r>
      <w:r w:rsidRPr="00461BF9">
        <w:t>17.</w:t>
      </w:r>
    </w:p>
    <w:p w:rsidR="00F60B5F" w:rsidRPr="00461BF9" w:rsidRDefault="00F60B5F" w:rsidP="00CC4CE3">
      <w:r w:rsidRPr="00461BF9">
        <w:t xml:space="preserve">Consistent with the </w:t>
      </w:r>
      <w:r w:rsidRPr="00461BF9">
        <w:rPr>
          <w:i/>
        </w:rPr>
        <w:t>2013</w:t>
      </w:r>
      <w:r>
        <w:rPr>
          <w:i/>
        </w:rPr>
        <w:noBreakHyphen/>
      </w:r>
      <w:r w:rsidRPr="00461BF9">
        <w:rPr>
          <w:i/>
        </w:rPr>
        <w:t>14 Budget</w:t>
      </w:r>
      <w:r w:rsidRPr="00461BF9">
        <w:t>, net debt peaks in June 2015 and is estimated to reduce to $22.8</w:t>
      </w:r>
      <w:r>
        <w:t> billion</w:t>
      </w:r>
      <w:r w:rsidRPr="00461BF9">
        <w:t xml:space="preserve"> by June 2017. Year</w:t>
      </w:r>
      <w:r>
        <w:noBreakHyphen/>
      </w:r>
      <w:r w:rsidRPr="00461BF9">
        <w:t>on</w:t>
      </w:r>
      <w:r>
        <w:noBreakHyphen/>
      </w:r>
      <w:r w:rsidRPr="00461BF9">
        <w:t xml:space="preserve">year variations to the </w:t>
      </w:r>
      <w:r w:rsidRPr="00461BF9">
        <w:rPr>
          <w:i/>
        </w:rPr>
        <w:t>2013</w:t>
      </w:r>
      <w:r>
        <w:rPr>
          <w:i/>
        </w:rPr>
        <w:noBreakHyphen/>
        <w:t>14 </w:t>
      </w:r>
      <w:r w:rsidRPr="00461BF9">
        <w:rPr>
          <w:i/>
        </w:rPr>
        <w:t>Budget</w:t>
      </w:r>
      <w:r w:rsidRPr="00461BF9">
        <w:t xml:space="preserve"> </w:t>
      </w:r>
      <w:r>
        <w:t xml:space="preserve">estimates </w:t>
      </w:r>
      <w:r w:rsidRPr="00461BF9">
        <w:t>reflect the accounting recognition of the new Bendigo Hospital and Ravenhall Prison projects as finance leases, capital expenditure re</w:t>
      </w:r>
      <w:r>
        <w:noBreakHyphen/>
      </w:r>
      <w:r w:rsidRPr="00461BF9">
        <w:t>phasing and associated operating result movements.</w:t>
      </w:r>
    </w:p>
    <w:p w:rsidR="00F60B5F" w:rsidRDefault="00F60B5F" w:rsidP="00CC4CE3">
      <w:r w:rsidRPr="00461BF9">
        <w:t>Government infrastructure investment is expected to be $5.8</w:t>
      </w:r>
      <w:r>
        <w:t> billion</w:t>
      </w:r>
      <w:r w:rsidRPr="00461BF9">
        <w:t xml:space="preserve"> in 2013</w:t>
      </w:r>
      <w:r>
        <w:noBreakHyphen/>
      </w:r>
      <w:r w:rsidRPr="00461BF9">
        <w:t>14 and is estimated to average $5.0</w:t>
      </w:r>
      <w:r>
        <w:t> billion</w:t>
      </w:r>
      <w:r w:rsidRPr="00461BF9">
        <w:t xml:space="preserve"> a year over the forward</w:t>
      </w:r>
      <w:r>
        <w:t xml:space="preserve"> estimates period, in line with the Government’s infrastructure investment parameter. </w:t>
      </w:r>
    </w:p>
    <w:p w:rsidR="00F60B5F" w:rsidRDefault="00F60B5F" w:rsidP="00CC4CE3">
      <w:pPr>
        <w:spacing w:after="0"/>
        <w:rPr>
          <w:rFonts w:ascii="Calibri" w:hAnsi="Calibri"/>
          <w:b/>
        </w:rPr>
      </w:pPr>
      <w:r>
        <w:br w:type="page"/>
      </w:r>
    </w:p>
    <w:p w:rsidR="00F60B5F" w:rsidRPr="00167733" w:rsidRDefault="00F60B5F" w:rsidP="00167733">
      <w:pPr>
        <w:pStyle w:val="Tableheading"/>
      </w:pPr>
      <w:r>
        <w:t>Table 3.1:</w:t>
      </w:r>
      <w:r>
        <w:tab/>
        <w:t>General government fiscal aggregates and measures</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892"/>
        <w:gridCol w:w="892"/>
        <w:gridCol w:w="892"/>
        <w:gridCol w:w="892"/>
        <w:gridCol w:w="892"/>
        <w:gridCol w:w="892"/>
      </w:tblGrid>
      <w:tr w:rsidR="00F60B5F" w:rsidRPr="00167733" w:rsidTr="00167733">
        <w:trPr>
          <w:cantSplit/>
          <w:tblHeader/>
        </w:trPr>
        <w:tc>
          <w:tcPr>
            <w:tcW w:w="2408" w:type="dxa"/>
            <w:tcBorders>
              <w:top w:val="single" w:sz="6" w:space="0" w:color="auto"/>
              <w:left w:val="single" w:sz="6" w:space="0" w:color="auto"/>
              <w:bottom w:val="nil"/>
              <w:right w:val="nil"/>
            </w:tcBorders>
            <w:shd w:val="clear" w:color="000000" w:fill="000000"/>
          </w:tcPr>
          <w:p w:rsidR="00F60B5F" w:rsidRPr="00167733" w:rsidRDefault="00F60B5F" w:rsidP="00167733">
            <w:pPr>
              <w:pStyle w:val="Tabletext"/>
              <w:rPr>
                <w:rFonts w:eastAsiaTheme="minorEastAsia"/>
                <w:lang w:eastAsia="en-AU"/>
              </w:rPr>
            </w:pPr>
            <w:r w:rsidRPr="00167733">
              <w:rPr>
                <w:rFonts w:eastAsiaTheme="minorEastAsia"/>
                <w:lang w:eastAsia="en-AU"/>
              </w:rPr>
              <w:t xml:space="preserve"> </w:t>
            </w:r>
          </w:p>
        </w:tc>
        <w:tc>
          <w:tcPr>
            <w:tcW w:w="892" w:type="dxa"/>
            <w:tcBorders>
              <w:top w:val="single" w:sz="6" w:space="0" w:color="auto"/>
              <w:left w:val="nil"/>
              <w:bottom w:val="nil"/>
              <w:right w:val="nil"/>
            </w:tcBorders>
            <w:shd w:val="clear" w:color="000000" w:fill="000000"/>
          </w:tcPr>
          <w:p w:rsidR="00F60B5F" w:rsidRPr="007F3E93" w:rsidRDefault="00F60B5F" w:rsidP="007F3E93">
            <w:pPr>
              <w:pStyle w:val="TabletextheadingCentred0"/>
              <w:rPr>
                <w:rFonts w:eastAsiaTheme="minorEastAsia"/>
                <w:sz w:val="20"/>
                <w:lang w:eastAsia="en-AU"/>
              </w:rPr>
            </w:pPr>
            <w:r w:rsidRPr="007F3E93">
              <w:rPr>
                <w:rFonts w:eastAsiaTheme="minorEastAsia"/>
                <w:sz w:val="20"/>
                <w:lang w:eastAsia="en-AU"/>
              </w:rPr>
              <w:t>Unit of</w:t>
            </w:r>
          </w:p>
        </w:tc>
        <w:tc>
          <w:tcPr>
            <w:tcW w:w="892" w:type="dxa"/>
            <w:tcBorders>
              <w:top w:val="single" w:sz="6" w:space="0" w:color="auto"/>
              <w:left w:val="nil"/>
              <w:bottom w:val="nil"/>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2012</w:t>
            </w:r>
            <w:r>
              <w:rPr>
                <w:rFonts w:eastAsiaTheme="minorEastAsia"/>
                <w:iCs/>
                <w:color w:val="FFFFFF"/>
                <w:lang w:eastAsia="en-AU"/>
              </w:rPr>
              <w:noBreakHyphen/>
            </w:r>
            <w:r w:rsidRPr="00167733">
              <w:rPr>
                <w:rFonts w:eastAsiaTheme="minorEastAsia"/>
                <w:iCs/>
                <w:color w:val="FFFFFF"/>
                <w:lang w:eastAsia="en-AU"/>
              </w:rPr>
              <w:t>13</w:t>
            </w:r>
          </w:p>
        </w:tc>
        <w:tc>
          <w:tcPr>
            <w:tcW w:w="892" w:type="dxa"/>
            <w:tcBorders>
              <w:top w:val="single" w:sz="6" w:space="0" w:color="auto"/>
              <w:left w:val="nil"/>
              <w:bottom w:val="nil"/>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2013</w:t>
            </w:r>
            <w:r>
              <w:rPr>
                <w:rFonts w:eastAsiaTheme="minorEastAsia"/>
                <w:iCs/>
                <w:color w:val="FFFFFF"/>
                <w:lang w:eastAsia="en-AU"/>
              </w:rPr>
              <w:noBreakHyphen/>
            </w:r>
            <w:r w:rsidRPr="00167733">
              <w:rPr>
                <w:rFonts w:eastAsiaTheme="minorEastAsia"/>
                <w:iCs/>
                <w:color w:val="FFFFFF"/>
                <w:lang w:eastAsia="en-AU"/>
              </w:rPr>
              <w:t>14</w:t>
            </w:r>
          </w:p>
        </w:tc>
        <w:tc>
          <w:tcPr>
            <w:tcW w:w="892" w:type="dxa"/>
            <w:tcBorders>
              <w:top w:val="single" w:sz="6" w:space="0" w:color="auto"/>
              <w:left w:val="nil"/>
              <w:bottom w:val="nil"/>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2014</w:t>
            </w:r>
            <w:r>
              <w:rPr>
                <w:rFonts w:eastAsiaTheme="minorEastAsia"/>
                <w:iCs/>
                <w:color w:val="FFFFFF"/>
                <w:lang w:eastAsia="en-AU"/>
              </w:rPr>
              <w:noBreakHyphen/>
            </w:r>
            <w:r w:rsidRPr="00167733">
              <w:rPr>
                <w:rFonts w:eastAsiaTheme="minorEastAsia"/>
                <w:iCs/>
                <w:color w:val="FFFFFF"/>
                <w:lang w:eastAsia="en-AU"/>
              </w:rPr>
              <w:t>15</w:t>
            </w:r>
          </w:p>
        </w:tc>
        <w:tc>
          <w:tcPr>
            <w:tcW w:w="892" w:type="dxa"/>
            <w:tcBorders>
              <w:top w:val="single" w:sz="6" w:space="0" w:color="auto"/>
              <w:left w:val="nil"/>
              <w:bottom w:val="nil"/>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2015</w:t>
            </w:r>
            <w:r>
              <w:rPr>
                <w:rFonts w:eastAsiaTheme="minorEastAsia"/>
                <w:iCs/>
                <w:color w:val="FFFFFF"/>
                <w:lang w:eastAsia="en-AU"/>
              </w:rPr>
              <w:noBreakHyphen/>
            </w:r>
            <w:r w:rsidRPr="00167733">
              <w:rPr>
                <w:rFonts w:eastAsiaTheme="minorEastAsia"/>
                <w:iCs/>
                <w:color w:val="FFFFFF"/>
                <w:lang w:eastAsia="en-AU"/>
              </w:rPr>
              <w:t>16</w:t>
            </w:r>
          </w:p>
        </w:tc>
        <w:tc>
          <w:tcPr>
            <w:tcW w:w="892" w:type="dxa"/>
            <w:tcBorders>
              <w:top w:val="single" w:sz="6" w:space="0" w:color="auto"/>
              <w:left w:val="nil"/>
              <w:bottom w:val="nil"/>
              <w:right w:val="single" w:sz="6" w:space="0" w:color="auto"/>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2016</w:t>
            </w:r>
            <w:r>
              <w:rPr>
                <w:rFonts w:eastAsiaTheme="minorEastAsia"/>
                <w:iCs/>
                <w:color w:val="FFFFFF"/>
                <w:lang w:eastAsia="en-AU"/>
              </w:rPr>
              <w:noBreakHyphen/>
            </w:r>
            <w:r w:rsidRPr="00167733">
              <w:rPr>
                <w:rFonts w:eastAsiaTheme="minorEastAsia"/>
                <w:iCs/>
                <w:color w:val="FFFFFF"/>
                <w:lang w:eastAsia="en-AU"/>
              </w:rPr>
              <w:t>17</w:t>
            </w:r>
          </w:p>
        </w:tc>
      </w:tr>
      <w:tr w:rsidR="00F60B5F" w:rsidRPr="00167733" w:rsidTr="00167733">
        <w:trPr>
          <w:cantSplit/>
          <w:tblHeader/>
        </w:trPr>
        <w:tc>
          <w:tcPr>
            <w:tcW w:w="2408" w:type="dxa"/>
            <w:tcBorders>
              <w:top w:val="nil"/>
              <w:left w:val="single" w:sz="6" w:space="0" w:color="auto"/>
              <w:bottom w:val="single" w:sz="6" w:space="0" w:color="auto"/>
              <w:right w:val="nil"/>
            </w:tcBorders>
            <w:shd w:val="clear" w:color="000000" w:fill="000000"/>
          </w:tcPr>
          <w:p w:rsidR="00F60B5F" w:rsidRPr="00167733" w:rsidRDefault="00F60B5F" w:rsidP="00167733">
            <w:pPr>
              <w:pStyle w:val="Tabletext"/>
              <w:rPr>
                <w:rFonts w:eastAsiaTheme="minorEastAsia"/>
                <w:lang w:eastAsia="en-AU"/>
              </w:rPr>
            </w:pPr>
            <w:r w:rsidRPr="00167733">
              <w:rPr>
                <w:rFonts w:eastAsiaTheme="minorEastAsia"/>
                <w:lang w:eastAsia="en-AU"/>
              </w:rPr>
              <w:t xml:space="preserve"> </w:t>
            </w:r>
          </w:p>
        </w:tc>
        <w:tc>
          <w:tcPr>
            <w:tcW w:w="892" w:type="dxa"/>
            <w:tcBorders>
              <w:top w:val="nil"/>
              <w:left w:val="nil"/>
              <w:bottom w:val="single" w:sz="6" w:space="0" w:color="auto"/>
              <w:right w:val="nil"/>
            </w:tcBorders>
            <w:shd w:val="clear" w:color="000000" w:fill="000000"/>
          </w:tcPr>
          <w:p w:rsidR="00F60B5F" w:rsidRPr="007F3E93" w:rsidRDefault="00F60B5F" w:rsidP="007F3E93">
            <w:pPr>
              <w:pStyle w:val="TabletextheadingCentred0"/>
              <w:rPr>
                <w:rFonts w:eastAsiaTheme="minorEastAsia"/>
                <w:sz w:val="20"/>
                <w:lang w:eastAsia="en-AU"/>
              </w:rPr>
            </w:pPr>
            <w:r w:rsidRPr="007F3E93">
              <w:rPr>
                <w:rFonts w:eastAsiaTheme="minorEastAsia"/>
                <w:sz w:val="20"/>
                <w:lang w:eastAsia="en-AU"/>
              </w:rPr>
              <w:t>measure</w:t>
            </w:r>
          </w:p>
        </w:tc>
        <w:tc>
          <w:tcPr>
            <w:tcW w:w="892" w:type="dxa"/>
            <w:tcBorders>
              <w:top w:val="nil"/>
              <w:left w:val="nil"/>
              <w:bottom w:val="single" w:sz="6" w:space="0" w:color="auto"/>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Actual</w:t>
            </w:r>
          </w:p>
        </w:tc>
        <w:tc>
          <w:tcPr>
            <w:tcW w:w="892" w:type="dxa"/>
            <w:tcBorders>
              <w:top w:val="nil"/>
              <w:left w:val="nil"/>
              <w:bottom w:val="single" w:sz="6" w:space="0" w:color="auto"/>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Revised</w:t>
            </w:r>
          </w:p>
        </w:tc>
        <w:tc>
          <w:tcPr>
            <w:tcW w:w="892" w:type="dxa"/>
            <w:tcBorders>
              <w:top w:val="nil"/>
              <w:left w:val="nil"/>
              <w:bottom w:val="single" w:sz="6" w:space="0" w:color="auto"/>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Estimate</w:t>
            </w:r>
          </w:p>
        </w:tc>
        <w:tc>
          <w:tcPr>
            <w:tcW w:w="892" w:type="dxa"/>
            <w:tcBorders>
              <w:top w:val="nil"/>
              <w:left w:val="nil"/>
              <w:bottom w:val="single" w:sz="6" w:space="0" w:color="auto"/>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Estimate</w:t>
            </w:r>
          </w:p>
        </w:tc>
        <w:tc>
          <w:tcPr>
            <w:tcW w:w="892" w:type="dxa"/>
            <w:tcBorders>
              <w:top w:val="nil"/>
              <w:left w:val="nil"/>
              <w:bottom w:val="single" w:sz="6" w:space="0" w:color="auto"/>
              <w:right w:val="single" w:sz="6" w:space="0" w:color="auto"/>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Estimate</w:t>
            </w:r>
          </w:p>
        </w:tc>
      </w:tr>
      <w:tr w:rsidR="00F60B5F" w:rsidRPr="00167733" w:rsidTr="00167733">
        <w:trPr>
          <w:cantSplit/>
        </w:trPr>
        <w:tc>
          <w:tcPr>
            <w:tcW w:w="2408" w:type="dxa"/>
            <w:tcBorders>
              <w:top w:val="single" w:sz="6" w:space="0" w:color="auto"/>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Net result from transactions</w:t>
            </w:r>
          </w:p>
        </w:tc>
        <w:tc>
          <w:tcPr>
            <w:tcW w:w="892" w:type="dxa"/>
            <w:tcBorders>
              <w:top w:val="single" w:sz="6" w:space="0" w:color="auto"/>
              <w:left w:val="nil"/>
              <w:bottom w:val="nil"/>
              <w:right w:val="nil"/>
            </w:tcBorders>
          </w:tcPr>
          <w:p w:rsidR="00F60B5F" w:rsidRPr="007F3E93" w:rsidRDefault="00F60B5F" w:rsidP="007F3E93">
            <w:pPr>
              <w:pStyle w:val="TableTextCentred0"/>
              <w:rPr>
                <w:rFonts w:eastAsiaTheme="minorEastAsia"/>
                <w:sz w:val="20"/>
                <w:lang w:eastAsia="en-AU"/>
              </w:rPr>
            </w:pPr>
            <w:r w:rsidRPr="007F3E93">
              <w:rPr>
                <w:rFonts w:eastAsiaTheme="minorEastAsia"/>
                <w:sz w:val="20"/>
                <w:lang w:eastAsia="en-AU"/>
              </w:rPr>
              <w:t>$</w:t>
            </w:r>
            <w:r>
              <w:rPr>
                <w:rFonts w:eastAsiaTheme="minorEastAsia"/>
                <w:sz w:val="20"/>
                <w:lang w:eastAsia="en-AU"/>
              </w:rPr>
              <w:t> million</w:t>
            </w:r>
          </w:p>
        </w:tc>
        <w:tc>
          <w:tcPr>
            <w:tcW w:w="892" w:type="dxa"/>
            <w:tcBorders>
              <w:top w:val="single" w:sz="6" w:space="0" w:color="auto"/>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316.4</w:t>
            </w:r>
          </w:p>
        </w:tc>
        <w:tc>
          <w:tcPr>
            <w:tcW w:w="892" w:type="dxa"/>
            <w:tcBorders>
              <w:top w:val="single" w:sz="6" w:space="0" w:color="auto"/>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221.8</w:t>
            </w:r>
          </w:p>
        </w:tc>
        <w:tc>
          <w:tcPr>
            <w:tcW w:w="892" w:type="dxa"/>
            <w:tcBorders>
              <w:top w:val="single" w:sz="6" w:space="0" w:color="auto"/>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911.0</w:t>
            </w:r>
          </w:p>
        </w:tc>
        <w:tc>
          <w:tcPr>
            <w:tcW w:w="892" w:type="dxa"/>
            <w:tcBorders>
              <w:top w:val="single" w:sz="6" w:space="0" w:color="auto"/>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2 051.5</w:t>
            </w:r>
          </w:p>
        </w:tc>
        <w:tc>
          <w:tcPr>
            <w:tcW w:w="892" w:type="dxa"/>
            <w:tcBorders>
              <w:top w:val="single" w:sz="6" w:space="0" w:color="auto"/>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2 718.9</w:t>
            </w:r>
          </w:p>
        </w:tc>
      </w:tr>
      <w:tr w:rsidR="00F60B5F" w:rsidRPr="00167733" w:rsidTr="00167733">
        <w:trPr>
          <w:cantSplit/>
        </w:trPr>
        <w:tc>
          <w:tcPr>
            <w:tcW w:w="2408" w:type="dxa"/>
            <w:tcBorders>
              <w:top w:val="nil"/>
              <w:left w:val="nil"/>
              <w:bottom w:val="nil"/>
              <w:right w:val="nil"/>
            </w:tcBorders>
          </w:tcPr>
          <w:p w:rsidR="00F60B5F" w:rsidRPr="00167733" w:rsidRDefault="00F60B5F" w:rsidP="00167733">
            <w:pPr>
              <w:pStyle w:val="Tabletext"/>
              <w:rPr>
                <w:rFonts w:eastAsiaTheme="minorEastAsia"/>
                <w:vertAlign w:val="superscript"/>
                <w:lang w:eastAsia="en-AU"/>
              </w:rPr>
            </w:pPr>
            <w:r w:rsidRPr="00167733">
              <w:rPr>
                <w:rFonts w:eastAsiaTheme="minorEastAsia"/>
                <w:lang w:eastAsia="en-AU"/>
              </w:rPr>
              <w:t xml:space="preserve">Government fiscal result </w:t>
            </w:r>
            <w:r w:rsidRPr="00167733">
              <w:rPr>
                <w:rFonts w:eastAsiaTheme="minorEastAsia"/>
                <w:vertAlign w:val="superscript"/>
                <w:lang w:eastAsia="en-AU"/>
              </w:rPr>
              <w:t>(a)</w:t>
            </w:r>
          </w:p>
        </w:tc>
        <w:tc>
          <w:tcPr>
            <w:tcW w:w="892" w:type="dxa"/>
            <w:tcBorders>
              <w:top w:val="nil"/>
              <w:left w:val="nil"/>
              <w:bottom w:val="nil"/>
              <w:right w:val="nil"/>
            </w:tcBorders>
          </w:tcPr>
          <w:p w:rsidR="00F60B5F" w:rsidRPr="007F3E93" w:rsidRDefault="00F60B5F" w:rsidP="007F3E93">
            <w:pPr>
              <w:pStyle w:val="TableTextCentred0"/>
              <w:rPr>
                <w:rFonts w:eastAsiaTheme="minorEastAsia"/>
                <w:sz w:val="20"/>
                <w:lang w:eastAsia="en-AU"/>
              </w:rPr>
            </w:pPr>
            <w:r w:rsidRPr="007F3E93">
              <w:rPr>
                <w:rFonts w:eastAsiaTheme="minorEastAsia"/>
                <w:sz w:val="20"/>
                <w:lang w:eastAsia="en-AU"/>
              </w:rPr>
              <w:t>$</w:t>
            </w:r>
            <w:r>
              <w:rPr>
                <w:rFonts w:eastAsiaTheme="minorEastAsia"/>
                <w:sz w:val="20"/>
                <w:lang w:eastAsia="en-AU"/>
              </w:rPr>
              <w:t> million</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316.4</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762.9</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1 475.7</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2 628.2</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3 307.0</w:t>
            </w:r>
          </w:p>
        </w:tc>
      </w:tr>
      <w:tr w:rsidR="00F60B5F" w:rsidRPr="00167733" w:rsidTr="00167733">
        <w:trPr>
          <w:cantSplit/>
        </w:trPr>
        <w:tc>
          <w:tcPr>
            <w:tcW w:w="2408" w:type="dxa"/>
            <w:tcBorders>
              <w:top w:val="nil"/>
              <w:left w:val="nil"/>
              <w:bottom w:val="nil"/>
              <w:right w:val="nil"/>
            </w:tcBorders>
          </w:tcPr>
          <w:p w:rsidR="00F60B5F" w:rsidRPr="00167733" w:rsidRDefault="00F60B5F" w:rsidP="00167733">
            <w:pPr>
              <w:pStyle w:val="Tabletext"/>
              <w:rPr>
                <w:rFonts w:eastAsiaTheme="minorEastAsia"/>
                <w:vertAlign w:val="superscript"/>
                <w:lang w:eastAsia="en-AU"/>
              </w:rPr>
            </w:pPr>
            <w:r w:rsidRPr="00167733">
              <w:rPr>
                <w:rFonts w:eastAsiaTheme="minorEastAsia"/>
                <w:lang w:eastAsia="en-AU"/>
              </w:rPr>
              <w:t xml:space="preserve">Net debt </w:t>
            </w:r>
            <w:r w:rsidRPr="00167733">
              <w:rPr>
                <w:rFonts w:eastAsiaTheme="minorEastAsia"/>
                <w:vertAlign w:val="superscript"/>
                <w:lang w:eastAsia="en-AU"/>
              </w:rPr>
              <w:t>(b)</w:t>
            </w:r>
          </w:p>
        </w:tc>
        <w:tc>
          <w:tcPr>
            <w:tcW w:w="892" w:type="dxa"/>
            <w:tcBorders>
              <w:top w:val="nil"/>
              <w:left w:val="nil"/>
              <w:bottom w:val="nil"/>
              <w:right w:val="nil"/>
            </w:tcBorders>
          </w:tcPr>
          <w:p w:rsidR="00F60B5F" w:rsidRPr="007F3E93" w:rsidRDefault="00F60B5F" w:rsidP="007F3E93">
            <w:pPr>
              <w:pStyle w:val="TableTextCentred0"/>
              <w:rPr>
                <w:rFonts w:eastAsiaTheme="minorEastAsia"/>
                <w:sz w:val="20"/>
                <w:lang w:eastAsia="en-AU"/>
              </w:rPr>
            </w:pPr>
            <w:r w:rsidRPr="007F3E93">
              <w:rPr>
                <w:rFonts w:eastAsiaTheme="minorEastAsia"/>
                <w:sz w:val="20"/>
                <w:lang w:eastAsia="en-AU"/>
              </w:rPr>
              <w:t>$</w:t>
            </w:r>
            <w:r>
              <w:rPr>
                <w:rFonts w:eastAsiaTheme="minorEastAsia"/>
                <w:sz w:val="20"/>
                <w:lang w:eastAsia="en-AU"/>
              </w:rPr>
              <w:t> billion</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19.8</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22.7</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24.8</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23.9</w:t>
            </w:r>
          </w:p>
        </w:tc>
        <w:tc>
          <w:tcPr>
            <w:tcW w:w="892"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22.8</w:t>
            </w:r>
          </w:p>
        </w:tc>
      </w:tr>
      <w:tr w:rsidR="00F60B5F" w:rsidRPr="00167733" w:rsidTr="00167733">
        <w:trPr>
          <w:cantSplit/>
        </w:trPr>
        <w:tc>
          <w:tcPr>
            <w:tcW w:w="2408" w:type="dxa"/>
            <w:tcBorders>
              <w:top w:val="nil"/>
              <w:left w:val="nil"/>
              <w:right w:val="nil"/>
            </w:tcBorders>
          </w:tcPr>
          <w:p w:rsidR="00F60B5F" w:rsidRPr="00167733" w:rsidRDefault="00F60B5F" w:rsidP="00167733">
            <w:pPr>
              <w:pStyle w:val="Tabletext"/>
              <w:rPr>
                <w:rFonts w:eastAsiaTheme="minorEastAsia"/>
                <w:vertAlign w:val="superscript"/>
                <w:lang w:eastAsia="en-AU"/>
              </w:rPr>
            </w:pPr>
            <w:r w:rsidRPr="00167733">
              <w:rPr>
                <w:rFonts w:eastAsiaTheme="minorEastAsia"/>
                <w:lang w:eastAsia="en-AU"/>
              </w:rPr>
              <w:t xml:space="preserve">Net debt to GSP </w:t>
            </w:r>
            <w:r w:rsidRPr="00167733">
              <w:rPr>
                <w:rFonts w:eastAsiaTheme="minorEastAsia"/>
                <w:vertAlign w:val="superscript"/>
                <w:lang w:eastAsia="en-AU"/>
              </w:rPr>
              <w:t>(c)</w:t>
            </w:r>
          </w:p>
        </w:tc>
        <w:tc>
          <w:tcPr>
            <w:tcW w:w="892" w:type="dxa"/>
            <w:tcBorders>
              <w:top w:val="nil"/>
              <w:left w:val="nil"/>
              <w:right w:val="nil"/>
            </w:tcBorders>
          </w:tcPr>
          <w:p w:rsidR="00F60B5F" w:rsidRPr="007F3E93" w:rsidRDefault="00F60B5F" w:rsidP="007F3E93">
            <w:pPr>
              <w:pStyle w:val="TableTextCentred0"/>
              <w:rPr>
                <w:rFonts w:eastAsiaTheme="minorEastAsia"/>
                <w:sz w:val="20"/>
                <w:lang w:eastAsia="en-AU"/>
              </w:rPr>
            </w:pPr>
            <w:r w:rsidRPr="007F3E93">
              <w:rPr>
                <w:rFonts w:eastAsiaTheme="minorEastAsia"/>
                <w:sz w:val="20"/>
                <w:lang w:eastAsia="en-AU"/>
              </w:rPr>
              <w:t>per cent</w:t>
            </w:r>
          </w:p>
        </w:tc>
        <w:tc>
          <w:tcPr>
            <w:tcW w:w="892" w:type="dxa"/>
            <w:tcBorders>
              <w:top w:val="nil"/>
              <w:left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5.9</w:t>
            </w:r>
          </w:p>
        </w:tc>
        <w:tc>
          <w:tcPr>
            <w:tcW w:w="892" w:type="dxa"/>
            <w:tcBorders>
              <w:top w:val="nil"/>
              <w:left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6.4</w:t>
            </w:r>
          </w:p>
        </w:tc>
        <w:tc>
          <w:tcPr>
            <w:tcW w:w="892" w:type="dxa"/>
            <w:tcBorders>
              <w:top w:val="nil"/>
              <w:left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6.7</w:t>
            </w:r>
          </w:p>
        </w:tc>
        <w:tc>
          <w:tcPr>
            <w:tcW w:w="892" w:type="dxa"/>
            <w:tcBorders>
              <w:top w:val="nil"/>
              <w:left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6.1</w:t>
            </w:r>
          </w:p>
        </w:tc>
        <w:tc>
          <w:tcPr>
            <w:tcW w:w="892" w:type="dxa"/>
            <w:tcBorders>
              <w:top w:val="nil"/>
              <w:left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5.6</w:t>
            </w:r>
          </w:p>
        </w:tc>
      </w:tr>
      <w:tr w:rsidR="00F60B5F" w:rsidRPr="00167733" w:rsidTr="00167733">
        <w:trPr>
          <w:cantSplit/>
        </w:trPr>
        <w:tc>
          <w:tcPr>
            <w:tcW w:w="2408" w:type="dxa"/>
            <w:tcBorders>
              <w:top w:val="nil"/>
              <w:left w:val="nil"/>
              <w:bottom w:val="single" w:sz="12" w:space="0" w:color="000000"/>
              <w:right w:val="nil"/>
            </w:tcBorders>
            <w:shd w:val="clear" w:color="auto" w:fill="auto"/>
          </w:tcPr>
          <w:p w:rsidR="00F60B5F" w:rsidRPr="00167733" w:rsidRDefault="00F60B5F" w:rsidP="00167733">
            <w:pPr>
              <w:pStyle w:val="Tabletext"/>
              <w:rPr>
                <w:rFonts w:eastAsiaTheme="minorEastAsia"/>
                <w:vertAlign w:val="superscript"/>
                <w:lang w:eastAsia="en-AU"/>
              </w:rPr>
            </w:pPr>
            <w:r w:rsidRPr="00167733">
              <w:rPr>
                <w:rFonts w:eastAsiaTheme="minorEastAsia"/>
                <w:lang w:eastAsia="en-AU"/>
              </w:rPr>
              <w:t xml:space="preserve">Government infrastructure investment </w:t>
            </w:r>
            <w:r w:rsidRPr="00167733">
              <w:rPr>
                <w:rFonts w:eastAsiaTheme="minorEastAsia"/>
                <w:vertAlign w:val="superscript"/>
                <w:lang w:eastAsia="en-AU"/>
              </w:rPr>
              <w:t>(d)</w:t>
            </w:r>
          </w:p>
        </w:tc>
        <w:tc>
          <w:tcPr>
            <w:tcW w:w="892" w:type="dxa"/>
            <w:tcBorders>
              <w:top w:val="nil"/>
              <w:left w:val="nil"/>
              <w:bottom w:val="single" w:sz="12" w:space="0" w:color="000000"/>
              <w:right w:val="nil"/>
            </w:tcBorders>
            <w:shd w:val="clear" w:color="auto" w:fill="auto"/>
          </w:tcPr>
          <w:p w:rsidR="00F60B5F" w:rsidRPr="007F3E93" w:rsidRDefault="00F60B5F" w:rsidP="007F3E93">
            <w:pPr>
              <w:pStyle w:val="TableTextCentred0"/>
              <w:rPr>
                <w:rFonts w:eastAsiaTheme="minorEastAsia"/>
                <w:sz w:val="20"/>
                <w:lang w:eastAsia="en-AU"/>
              </w:rPr>
            </w:pPr>
            <w:r w:rsidRPr="007F3E93">
              <w:rPr>
                <w:rFonts w:eastAsiaTheme="minorEastAsia"/>
                <w:sz w:val="20"/>
                <w:lang w:eastAsia="en-AU"/>
              </w:rPr>
              <w:t>$</w:t>
            </w:r>
            <w:r>
              <w:rPr>
                <w:rFonts w:eastAsiaTheme="minorEastAsia"/>
                <w:sz w:val="20"/>
                <w:lang w:eastAsia="en-AU"/>
              </w:rPr>
              <w:t> billion</w:t>
            </w:r>
          </w:p>
        </w:tc>
        <w:tc>
          <w:tcPr>
            <w:tcW w:w="892" w:type="dxa"/>
            <w:tcBorders>
              <w:top w:val="nil"/>
              <w:left w:val="nil"/>
              <w:bottom w:val="single" w:sz="12" w:space="0" w:color="000000"/>
              <w:right w:val="nil"/>
            </w:tcBorders>
            <w:shd w:val="clear" w:color="auto" w:fill="auto"/>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5.4</w:t>
            </w:r>
          </w:p>
        </w:tc>
        <w:tc>
          <w:tcPr>
            <w:tcW w:w="892" w:type="dxa"/>
            <w:tcBorders>
              <w:top w:val="nil"/>
              <w:left w:val="nil"/>
              <w:bottom w:val="single" w:sz="12" w:space="0" w:color="000000"/>
              <w:right w:val="nil"/>
            </w:tcBorders>
            <w:shd w:val="clear" w:color="auto" w:fill="auto"/>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5.8</w:t>
            </w:r>
          </w:p>
        </w:tc>
        <w:tc>
          <w:tcPr>
            <w:tcW w:w="892" w:type="dxa"/>
            <w:tcBorders>
              <w:top w:val="nil"/>
              <w:left w:val="nil"/>
              <w:bottom w:val="single" w:sz="12" w:space="0" w:color="000000"/>
              <w:right w:val="nil"/>
            </w:tcBorders>
            <w:shd w:val="clear" w:color="auto" w:fill="auto"/>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7.2</w:t>
            </w:r>
          </w:p>
        </w:tc>
        <w:tc>
          <w:tcPr>
            <w:tcW w:w="892" w:type="dxa"/>
            <w:tcBorders>
              <w:top w:val="nil"/>
              <w:left w:val="nil"/>
              <w:bottom w:val="single" w:sz="12" w:space="0" w:color="000000"/>
              <w:right w:val="nil"/>
            </w:tcBorders>
            <w:shd w:val="clear" w:color="auto" w:fill="auto"/>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4.2</w:t>
            </w:r>
          </w:p>
        </w:tc>
        <w:tc>
          <w:tcPr>
            <w:tcW w:w="892" w:type="dxa"/>
            <w:tcBorders>
              <w:top w:val="nil"/>
              <w:left w:val="nil"/>
              <w:bottom w:val="single" w:sz="12" w:space="0" w:color="000000"/>
              <w:right w:val="nil"/>
            </w:tcBorders>
            <w:shd w:val="clear" w:color="auto" w:fill="auto"/>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3.5</w:t>
            </w:r>
          </w:p>
        </w:tc>
      </w:tr>
    </w:tbl>
    <w:p w:rsidR="00F60B5F" w:rsidRDefault="00F60B5F" w:rsidP="00CC4CE3">
      <w:pPr>
        <w:pStyle w:val="Source"/>
      </w:pPr>
      <w:r>
        <w:t>Source: Department of Treasury and Finance</w:t>
      </w:r>
    </w:p>
    <w:p w:rsidR="00F60B5F" w:rsidRDefault="00F60B5F" w:rsidP="009A7C69">
      <w:pPr>
        <w:pStyle w:val="Notes"/>
      </w:pPr>
      <w:r>
        <w:t>Notes:</w:t>
      </w:r>
    </w:p>
    <w:p w:rsidR="00F60B5F" w:rsidRDefault="00F60B5F" w:rsidP="009A7C69">
      <w:pPr>
        <w:pStyle w:val="Notes"/>
      </w:pPr>
      <w:r>
        <w:t>(a)</w:t>
      </w:r>
      <w:r>
        <w:tab/>
        <w:t xml:space="preserve">Equals the net result from transactions after excluding the impact of the revised AASB 119 </w:t>
      </w:r>
      <w:r w:rsidRPr="009A7C69">
        <w:rPr>
          <w:i w:val="0"/>
        </w:rPr>
        <w:t>Employee Benefits</w:t>
      </w:r>
      <w:r>
        <w:t>, which applies from 2013 14 onwards.</w:t>
      </w:r>
    </w:p>
    <w:p w:rsidR="00F60B5F" w:rsidRDefault="00F60B5F" w:rsidP="009A7C69">
      <w:pPr>
        <w:pStyle w:val="Notes"/>
      </w:pPr>
      <w:r>
        <w:t>(b)</w:t>
      </w:r>
      <w:r>
        <w:tab/>
        <w:t>The sum of borrowings, deposits held and advances received less the sum of cash and deposits, advances paid, and investments, loans and placements.</w:t>
      </w:r>
    </w:p>
    <w:p w:rsidR="00F60B5F" w:rsidRDefault="00F60B5F" w:rsidP="009A7C69">
      <w:pPr>
        <w:pStyle w:val="Notes"/>
      </w:pPr>
      <w:r>
        <w:t>(c)</w:t>
      </w:r>
      <w:r>
        <w:tab/>
        <w:t>Ratios to GSP may vary from publications year to year due to revisions made by the ABS to its published GSP data.</w:t>
      </w:r>
    </w:p>
    <w:p w:rsidR="00F60B5F" w:rsidRDefault="00F60B5F" w:rsidP="009A7C69">
      <w:pPr>
        <w:pStyle w:val="Notes"/>
      </w:pPr>
      <w:r>
        <w:t>(d)</w:t>
      </w:r>
      <w:r>
        <w:tab/>
        <w:t xml:space="preserve">Includes net infrastructure investment and estimated capital cash flows for Partnerships Victoria projects, and excludes one off fiscal stimulus payments for </w:t>
      </w:r>
      <w:r w:rsidRPr="009A7C69">
        <w:rPr>
          <w:i w:val="0"/>
        </w:rPr>
        <w:t>Nation Building – Economic Stimulus Plan</w:t>
      </w:r>
      <w:r>
        <w:t xml:space="preserve"> Social Housing component and </w:t>
      </w:r>
      <w:r w:rsidRPr="009A7C69">
        <w:rPr>
          <w:i w:val="0"/>
        </w:rPr>
        <w:t>Building the Education Revolution</w:t>
      </w:r>
      <w:r>
        <w:t>.</w:t>
      </w:r>
    </w:p>
    <w:p w:rsidR="00F60B5F" w:rsidRDefault="00F60B5F" w:rsidP="009A7C69"/>
    <w:p w:rsidR="00F60B5F" w:rsidRDefault="00F60B5F" w:rsidP="00CC4CE3">
      <w:pPr>
        <w:spacing w:after="0"/>
        <w:rPr>
          <w:rFonts w:ascii="Calibri" w:hAnsi="Calibri"/>
          <w:b/>
          <w:kern w:val="28"/>
          <w:sz w:val="26"/>
          <w:szCs w:val="22"/>
        </w:rPr>
      </w:pPr>
      <w:r>
        <w:br w:type="page"/>
      </w:r>
    </w:p>
    <w:p w:rsidR="00F60B5F" w:rsidRDefault="00F60B5F" w:rsidP="00CC4CE3">
      <w:pPr>
        <w:pStyle w:val="Heading2"/>
      </w:pPr>
      <w:r>
        <w:t>Budget and forward estimates outlook</w:t>
      </w:r>
    </w:p>
    <w:p w:rsidR="00F60B5F" w:rsidRPr="00993EB0" w:rsidRDefault="00F60B5F" w:rsidP="00CC4CE3">
      <w:pPr>
        <w:rPr>
          <w:i/>
        </w:rPr>
      </w:pPr>
      <w:r>
        <w:t xml:space="preserve">Table 3.2 summarises the operating statement for the general government sector. A comprehensive operating statement is presented in Chapter 5 </w:t>
      </w:r>
      <w:r>
        <w:rPr>
          <w:i/>
        </w:rPr>
        <w:t>Estimated financial statements and notes.</w:t>
      </w:r>
    </w:p>
    <w:p w:rsidR="00F60B5F" w:rsidRPr="001E4BF9" w:rsidRDefault="00F60B5F" w:rsidP="00CC4CE3">
      <w:pPr>
        <w:pStyle w:val="Tableheading"/>
        <w:rPr>
          <w:vertAlign w:val="superscript"/>
        </w:rPr>
      </w:pPr>
      <w:r>
        <w:t>Table 3.2:</w:t>
      </w:r>
      <w:r>
        <w:tab/>
        <w:t>Summary operating statement for the general government sector</w:t>
      </w:r>
      <w:r>
        <w:rPr>
          <w:vertAlign w:val="superscript"/>
        </w:rPr>
        <w:t xml:space="preserve"> (a)</w:t>
      </w:r>
      <w:r w:rsidRPr="00D7423E">
        <w:rPr>
          <w:vertAlign w:val="superscript"/>
        </w:rPr>
        <w:t xml:space="preserve"> (b)</w:t>
      </w:r>
    </w:p>
    <w:p w:rsidR="00F60B5F" w:rsidRPr="00167733" w:rsidRDefault="00F60B5F" w:rsidP="00836447">
      <w:pPr>
        <w:pStyle w:val="million"/>
      </w:pPr>
      <w:r w:rsidRPr="009E5AA3">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167733" w:rsidTr="00167733">
        <w:trPr>
          <w:cantSplit/>
          <w:tblHeader/>
        </w:trPr>
        <w:tc>
          <w:tcPr>
            <w:tcW w:w="2790" w:type="dxa"/>
            <w:tcBorders>
              <w:top w:val="single" w:sz="6" w:space="0" w:color="auto"/>
              <w:left w:val="single" w:sz="6" w:space="0" w:color="auto"/>
              <w:bottom w:val="nil"/>
              <w:right w:val="nil"/>
            </w:tcBorders>
            <w:shd w:val="clear" w:color="000000" w:fill="000000"/>
          </w:tcPr>
          <w:p w:rsidR="00F60B5F" w:rsidRPr="00167733" w:rsidRDefault="00F60B5F" w:rsidP="00167733">
            <w:pPr>
              <w:pStyle w:val="Tabletext"/>
              <w:rPr>
                <w:rFonts w:eastAsiaTheme="minorEastAsia"/>
                <w:lang w:eastAsia="en-AU"/>
              </w:rPr>
            </w:pPr>
            <w:r w:rsidRPr="00167733">
              <w:rPr>
                <w:rFonts w:eastAsiaTheme="minorEastAsia"/>
                <w:lang w:eastAsia="en-AU"/>
              </w:rPr>
              <w:t xml:space="preserve"> </w:t>
            </w:r>
          </w:p>
        </w:tc>
        <w:tc>
          <w:tcPr>
            <w:tcW w:w="994" w:type="dxa"/>
            <w:tcBorders>
              <w:top w:val="single" w:sz="6" w:space="0" w:color="auto"/>
              <w:left w:val="nil"/>
              <w:bottom w:val="nil"/>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2012</w:t>
            </w:r>
            <w:r>
              <w:rPr>
                <w:rFonts w:eastAsiaTheme="minorEastAsia"/>
                <w:iCs/>
                <w:color w:val="FFFFFF"/>
                <w:lang w:eastAsia="en-AU"/>
              </w:rPr>
              <w:noBreakHyphen/>
            </w:r>
            <w:r w:rsidRPr="00167733">
              <w:rPr>
                <w:rFonts w:eastAsiaTheme="minorEastAsia"/>
                <w:iCs/>
                <w:color w:val="FFFFFF"/>
                <w:lang w:eastAsia="en-AU"/>
              </w:rPr>
              <w:t>13</w:t>
            </w:r>
          </w:p>
        </w:tc>
        <w:tc>
          <w:tcPr>
            <w:tcW w:w="994" w:type="dxa"/>
            <w:tcBorders>
              <w:top w:val="single" w:sz="6" w:space="0" w:color="auto"/>
              <w:left w:val="nil"/>
              <w:bottom w:val="nil"/>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2013</w:t>
            </w:r>
            <w:r>
              <w:rPr>
                <w:rFonts w:eastAsiaTheme="minorEastAsia"/>
                <w:iCs/>
                <w:color w:val="FFFFFF"/>
                <w:lang w:eastAsia="en-AU"/>
              </w:rPr>
              <w:noBreakHyphen/>
            </w:r>
            <w:r w:rsidRPr="00167733">
              <w:rPr>
                <w:rFonts w:eastAsiaTheme="minorEastAsia"/>
                <w:iCs/>
                <w:color w:val="FFFFFF"/>
                <w:lang w:eastAsia="en-AU"/>
              </w:rPr>
              <w:t>14</w:t>
            </w:r>
          </w:p>
        </w:tc>
        <w:tc>
          <w:tcPr>
            <w:tcW w:w="994" w:type="dxa"/>
            <w:tcBorders>
              <w:top w:val="single" w:sz="6" w:space="0" w:color="auto"/>
              <w:left w:val="nil"/>
              <w:bottom w:val="nil"/>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2014</w:t>
            </w:r>
            <w:r>
              <w:rPr>
                <w:rFonts w:eastAsiaTheme="minorEastAsia"/>
                <w:iCs/>
                <w:color w:val="FFFFFF"/>
                <w:lang w:eastAsia="en-AU"/>
              </w:rPr>
              <w:noBreakHyphen/>
            </w:r>
            <w:r w:rsidRPr="00167733">
              <w:rPr>
                <w:rFonts w:eastAsiaTheme="minorEastAsia"/>
                <w:iCs/>
                <w:color w:val="FFFFFF"/>
                <w:lang w:eastAsia="en-AU"/>
              </w:rPr>
              <w:t>15</w:t>
            </w:r>
          </w:p>
        </w:tc>
        <w:tc>
          <w:tcPr>
            <w:tcW w:w="994" w:type="dxa"/>
            <w:tcBorders>
              <w:top w:val="single" w:sz="6" w:space="0" w:color="auto"/>
              <w:left w:val="nil"/>
              <w:bottom w:val="nil"/>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2015</w:t>
            </w:r>
            <w:r>
              <w:rPr>
                <w:rFonts w:eastAsiaTheme="minorEastAsia"/>
                <w:iCs/>
                <w:color w:val="FFFFFF"/>
                <w:lang w:eastAsia="en-AU"/>
              </w:rPr>
              <w:noBreakHyphen/>
            </w:r>
            <w:r w:rsidRPr="00167733">
              <w:rPr>
                <w:rFonts w:eastAsiaTheme="minorEastAsia"/>
                <w:iCs/>
                <w:color w:val="FFFFFF"/>
                <w:lang w:eastAsia="en-AU"/>
              </w:rPr>
              <w:t>16</w:t>
            </w:r>
          </w:p>
        </w:tc>
        <w:tc>
          <w:tcPr>
            <w:tcW w:w="994" w:type="dxa"/>
            <w:tcBorders>
              <w:top w:val="single" w:sz="6" w:space="0" w:color="auto"/>
              <w:left w:val="nil"/>
              <w:bottom w:val="nil"/>
              <w:right w:val="single" w:sz="6" w:space="0" w:color="auto"/>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2016</w:t>
            </w:r>
            <w:r>
              <w:rPr>
                <w:rFonts w:eastAsiaTheme="minorEastAsia"/>
                <w:iCs/>
                <w:color w:val="FFFFFF"/>
                <w:lang w:eastAsia="en-AU"/>
              </w:rPr>
              <w:noBreakHyphen/>
            </w:r>
            <w:r w:rsidRPr="00167733">
              <w:rPr>
                <w:rFonts w:eastAsiaTheme="minorEastAsia"/>
                <w:iCs/>
                <w:color w:val="FFFFFF"/>
                <w:lang w:eastAsia="en-AU"/>
              </w:rPr>
              <w:t>17</w:t>
            </w:r>
          </w:p>
        </w:tc>
      </w:tr>
      <w:tr w:rsidR="00F60B5F" w:rsidRPr="00167733" w:rsidTr="00167733">
        <w:trPr>
          <w:cantSplit/>
          <w:tblHeader/>
        </w:trPr>
        <w:tc>
          <w:tcPr>
            <w:tcW w:w="2790" w:type="dxa"/>
            <w:tcBorders>
              <w:top w:val="nil"/>
              <w:left w:val="single" w:sz="6" w:space="0" w:color="auto"/>
              <w:bottom w:val="single" w:sz="6" w:space="0" w:color="auto"/>
              <w:right w:val="nil"/>
            </w:tcBorders>
            <w:shd w:val="clear" w:color="000000" w:fill="000000"/>
          </w:tcPr>
          <w:p w:rsidR="00F60B5F" w:rsidRPr="00167733" w:rsidRDefault="00F60B5F" w:rsidP="00167733">
            <w:pPr>
              <w:pStyle w:val="Tabletext"/>
              <w:rPr>
                <w:rFonts w:eastAsiaTheme="minorEastAsia"/>
                <w:lang w:eastAsia="en-AU"/>
              </w:rPr>
            </w:pPr>
            <w:r w:rsidRPr="00167733">
              <w:rPr>
                <w:rFonts w:eastAsiaTheme="minorEastAsia"/>
                <w:lang w:eastAsia="en-AU"/>
              </w:rPr>
              <w:t xml:space="preserve"> </w:t>
            </w:r>
          </w:p>
        </w:tc>
        <w:tc>
          <w:tcPr>
            <w:tcW w:w="994" w:type="dxa"/>
            <w:tcBorders>
              <w:top w:val="nil"/>
              <w:left w:val="nil"/>
              <w:bottom w:val="single" w:sz="6" w:space="0" w:color="auto"/>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Actual</w:t>
            </w:r>
          </w:p>
        </w:tc>
        <w:tc>
          <w:tcPr>
            <w:tcW w:w="994" w:type="dxa"/>
            <w:tcBorders>
              <w:top w:val="nil"/>
              <w:left w:val="nil"/>
              <w:bottom w:val="single" w:sz="6" w:space="0" w:color="auto"/>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Revised</w:t>
            </w:r>
          </w:p>
        </w:tc>
        <w:tc>
          <w:tcPr>
            <w:tcW w:w="994" w:type="dxa"/>
            <w:tcBorders>
              <w:top w:val="nil"/>
              <w:left w:val="nil"/>
              <w:bottom w:val="single" w:sz="6" w:space="0" w:color="auto"/>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Estimate</w:t>
            </w:r>
          </w:p>
        </w:tc>
        <w:tc>
          <w:tcPr>
            <w:tcW w:w="994" w:type="dxa"/>
            <w:tcBorders>
              <w:top w:val="nil"/>
              <w:left w:val="nil"/>
              <w:bottom w:val="single" w:sz="6" w:space="0" w:color="auto"/>
              <w:right w:val="nil"/>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Estimate</w:t>
            </w:r>
          </w:p>
        </w:tc>
        <w:tc>
          <w:tcPr>
            <w:tcW w:w="994" w:type="dxa"/>
            <w:tcBorders>
              <w:top w:val="nil"/>
              <w:left w:val="nil"/>
              <w:bottom w:val="single" w:sz="6" w:space="0" w:color="auto"/>
              <w:right w:val="single" w:sz="6" w:space="0" w:color="auto"/>
            </w:tcBorders>
            <w:shd w:val="clear" w:color="000000" w:fill="000000"/>
          </w:tcPr>
          <w:p w:rsidR="00F60B5F" w:rsidRPr="00167733" w:rsidRDefault="00F60B5F" w:rsidP="00167733">
            <w:pPr>
              <w:pStyle w:val="Tabletextheading"/>
              <w:rPr>
                <w:rFonts w:eastAsiaTheme="minorEastAsia"/>
                <w:iCs/>
                <w:color w:val="FFFFFF"/>
                <w:lang w:eastAsia="en-AU"/>
              </w:rPr>
            </w:pPr>
            <w:r w:rsidRPr="00167733">
              <w:rPr>
                <w:rFonts w:eastAsiaTheme="minorEastAsia"/>
                <w:iCs/>
                <w:color w:val="FFFFFF"/>
                <w:lang w:eastAsia="en-AU"/>
              </w:rPr>
              <w:t>Estimate</w:t>
            </w:r>
          </w:p>
        </w:tc>
      </w:tr>
      <w:tr w:rsidR="00F60B5F" w:rsidRPr="00167733" w:rsidTr="00167733">
        <w:trPr>
          <w:cantSplit/>
        </w:trPr>
        <w:tc>
          <w:tcPr>
            <w:tcW w:w="2790" w:type="dxa"/>
            <w:tcBorders>
              <w:top w:val="single" w:sz="6" w:space="0" w:color="auto"/>
              <w:left w:val="nil"/>
              <w:bottom w:val="nil"/>
              <w:right w:val="nil"/>
            </w:tcBorders>
          </w:tcPr>
          <w:p w:rsidR="00F60B5F" w:rsidRPr="00167733" w:rsidRDefault="00F60B5F" w:rsidP="00167733">
            <w:pPr>
              <w:pStyle w:val="Tabletext"/>
              <w:rPr>
                <w:rFonts w:eastAsiaTheme="minorEastAsia"/>
                <w:b/>
                <w:bCs/>
                <w:lang w:eastAsia="en-AU"/>
              </w:rPr>
            </w:pPr>
            <w:r w:rsidRPr="00167733">
              <w:rPr>
                <w:rFonts w:eastAsiaTheme="minorEastAsia"/>
                <w:b/>
                <w:bCs/>
                <w:lang w:eastAsia="en-AU"/>
              </w:rPr>
              <w:t>Revenue</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Taxation</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15 530.7</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16 495.4</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17 641.0</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18 402.9</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19 340.9</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vertAlign w:val="superscript"/>
                <w:lang w:eastAsia="en-AU"/>
              </w:rPr>
            </w:pPr>
            <w:r w:rsidRPr="00167733">
              <w:rPr>
                <w:rFonts w:eastAsiaTheme="minorEastAsia"/>
                <w:lang w:eastAsia="en-AU"/>
              </w:rPr>
              <w:t xml:space="preserve">Dividends, TER and interest </w:t>
            </w:r>
            <w:r w:rsidRPr="00167733">
              <w:rPr>
                <w:rFonts w:eastAsiaTheme="minorEastAsia"/>
                <w:vertAlign w:val="superscript"/>
                <w:lang w:eastAsia="en-AU"/>
              </w:rPr>
              <w:t>(c)</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2 042.4</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1 412.2</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1 406.0</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1 609.7</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1 554.6</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Sales of goods and services</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6 869.3</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6 721.2</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6 626.7</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6 849.8</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6 897.0</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Grants</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21 902.2</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23 251.8</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24 268.0</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24 819.0</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26 166.4</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Other current revenue</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2 268.3</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2 142.5</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1 997.1</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2 057.2</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2 094.9</w:t>
            </w:r>
          </w:p>
        </w:tc>
      </w:tr>
      <w:tr w:rsidR="00F60B5F" w:rsidRPr="00167733" w:rsidTr="00167733">
        <w:trPr>
          <w:cantSplit/>
        </w:trPr>
        <w:tc>
          <w:tcPr>
            <w:tcW w:w="2790" w:type="dxa"/>
            <w:tcBorders>
              <w:top w:val="single" w:sz="6" w:space="0" w:color="auto"/>
              <w:left w:val="nil"/>
              <w:bottom w:val="nil"/>
              <w:right w:val="nil"/>
            </w:tcBorders>
          </w:tcPr>
          <w:p w:rsidR="00F60B5F" w:rsidRPr="00167733" w:rsidRDefault="00F60B5F" w:rsidP="00167733">
            <w:pPr>
              <w:pStyle w:val="Tabletext"/>
              <w:rPr>
                <w:rFonts w:eastAsiaTheme="minorEastAsia"/>
                <w:b/>
                <w:bCs/>
                <w:lang w:eastAsia="en-AU"/>
              </w:rPr>
            </w:pPr>
            <w:r w:rsidRPr="00167733">
              <w:rPr>
                <w:rFonts w:eastAsiaTheme="minorEastAsia"/>
                <w:b/>
                <w:bCs/>
                <w:lang w:eastAsia="en-AU"/>
              </w:rPr>
              <w:t>Total revenue</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48 612.9</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50 023.0</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51 938.8</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53 738.6</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56 053.8</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i/>
                <w:iCs/>
                <w:lang w:eastAsia="en-AU"/>
              </w:rPr>
            </w:pPr>
            <w:r w:rsidRPr="00167733">
              <w:rPr>
                <w:rFonts w:eastAsiaTheme="minorEastAsia"/>
                <w:i/>
                <w:iCs/>
                <w:lang w:eastAsia="en-AU"/>
              </w:rPr>
              <w:t>% change</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1.5%</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2.9%</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3.8%</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3.5%</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4.3%</w:t>
            </w:r>
          </w:p>
        </w:tc>
      </w:tr>
      <w:tr w:rsidR="00F60B5F" w:rsidRPr="00167733" w:rsidTr="00167733">
        <w:trPr>
          <w:cantSplit/>
          <w:trHeight w:hRule="exact" w:val="120"/>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b/>
                <w:bCs/>
                <w:lang w:eastAsia="en-AU"/>
              </w:rPr>
            </w:pPr>
            <w:r w:rsidRPr="00167733">
              <w:rPr>
                <w:rFonts w:eastAsiaTheme="minorEastAsia"/>
                <w:b/>
                <w:bCs/>
                <w:lang w:eastAsia="en-AU"/>
              </w:rPr>
              <w:t>Expenses</w:t>
            </w:r>
          </w:p>
        </w:tc>
        <w:tc>
          <w:tcPr>
            <w:tcW w:w="994" w:type="dxa"/>
            <w:tcBorders>
              <w:top w:val="nil"/>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c>
          <w:tcPr>
            <w:tcW w:w="994" w:type="dxa"/>
            <w:tcBorders>
              <w:top w:val="nil"/>
              <w:left w:val="nil"/>
              <w:bottom w:val="nil"/>
              <w:right w:val="nil"/>
            </w:tcBorders>
          </w:tcPr>
          <w:p w:rsidR="00F60B5F" w:rsidRPr="00167733" w:rsidRDefault="00F60B5F" w:rsidP="00167733">
            <w:pPr>
              <w:pStyle w:val="TableofFigures"/>
              <w:rPr>
                <w:rFonts w:eastAsiaTheme="minorEastAsia"/>
                <w:b/>
                <w:lang w:eastAsia="en-AU"/>
              </w:rPr>
            </w:pPr>
            <w:r w:rsidRPr="00167733">
              <w:rPr>
                <w:rFonts w:eastAsiaTheme="minorEastAsia"/>
                <w:b/>
                <w:lang w:eastAsia="en-AU"/>
              </w:rPr>
              <w:t xml:space="preserve">   </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Employee expenses</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17 788.5</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17 814.3</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18 470.6</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19 188.7</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19 811.6</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vertAlign w:val="superscript"/>
                <w:lang w:eastAsia="en-AU"/>
              </w:rPr>
            </w:pPr>
            <w:r w:rsidRPr="00167733">
              <w:rPr>
                <w:rFonts w:eastAsiaTheme="minorEastAsia"/>
                <w:lang w:eastAsia="en-AU"/>
              </w:rPr>
              <w:t xml:space="preserve">Superannuation </w:t>
            </w:r>
            <w:r w:rsidRPr="00167733">
              <w:rPr>
                <w:rFonts w:eastAsiaTheme="minorEastAsia"/>
                <w:vertAlign w:val="superscript"/>
                <w:lang w:eastAsia="en-AU"/>
              </w:rPr>
              <w:t>(d)</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2 370.2</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2 898.1</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2 869.6</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2 888.4</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2 890.4</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Depreciation</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2 254.3</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2 408.9</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2 511.9</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2 619.7</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2 786.4</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Interest expense</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1 775.3</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2 168.0</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2 276.0</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2 280.8</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2 303.3</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Other operating expenses</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16 094.1</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16 723.5</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16 683.9</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16 357.1</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16 839.0</w:t>
            </w:r>
          </w:p>
        </w:tc>
      </w:tr>
      <w:tr w:rsidR="00F60B5F" w:rsidRPr="00167733" w:rsidTr="00167733">
        <w:trPr>
          <w:cantSplit/>
        </w:trPr>
        <w:tc>
          <w:tcPr>
            <w:tcW w:w="2790" w:type="dxa"/>
            <w:tcBorders>
              <w:top w:val="nil"/>
              <w:left w:val="nil"/>
              <w:bottom w:val="single" w:sz="6" w:space="0" w:color="auto"/>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Grants and other transfers</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8 013.9</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7 788.4</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8 215.8</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8 352.4</w:t>
            </w:r>
          </w:p>
        </w:tc>
        <w:tc>
          <w:tcPr>
            <w:tcW w:w="994" w:type="dxa"/>
            <w:tcBorders>
              <w:top w:val="nil"/>
              <w:left w:val="nil"/>
              <w:bottom w:val="nil"/>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8 704.3</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b/>
                <w:bCs/>
                <w:lang w:eastAsia="en-AU"/>
              </w:rPr>
            </w:pPr>
            <w:r w:rsidRPr="00167733">
              <w:rPr>
                <w:rFonts w:eastAsiaTheme="minorEastAsia"/>
                <w:b/>
                <w:bCs/>
                <w:lang w:eastAsia="en-AU"/>
              </w:rPr>
              <w:t>Total expenses</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48 296.4</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49 801.3</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51 027.8</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51 687.1</w:t>
            </w:r>
          </w:p>
        </w:tc>
        <w:tc>
          <w:tcPr>
            <w:tcW w:w="994" w:type="dxa"/>
            <w:tcBorders>
              <w:top w:val="single" w:sz="6" w:space="0" w:color="auto"/>
              <w:left w:val="nil"/>
              <w:bottom w:val="nil"/>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53 335.0</w:t>
            </w:r>
          </w:p>
        </w:tc>
      </w:tr>
      <w:tr w:rsidR="00F60B5F" w:rsidRPr="00167733" w:rsidTr="00167733">
        <w:trPr>
          <w:cantSplit/>
        </w:trPr>
        <w:tc>
          <w:tcPr>
            <w:tcW w:w="2790" w:type="dxa"/>
            <w:tcBorders>
              <w:top w:val="nil"/>
              <w:left w:val="nil"/>
              <w:bottom w:val="nil"/>
              <w:right w:val="nil"/>
            </w:tcBorders>
          </w:tcPr>
          <w:p w:rsidR="00F60B5F" w:rsidRPr="00167733" w:rsidRDefault="00F60B5F" w:rsidP="00167733">
            <w:pPr>
              <w:pStyle w:val="Tabletext"/>
              <w:rPr>
                <w:rFonts w:eastAsiaTheme="minorEastAsia"/>
                <w:i/>
                <w:iCs/>
                <w:vertAlign w:val="superscript"/>
                <w:lang w:eastAsia="en-AU"/>
              </w:rPr>
            </w:pPr>
            <w:r w:rsidRPr="00167733">
              <w:rPr>
                <w:rFonts w:eastAsiaTheme="minorEastAsia"/>
                <w:i/>
                <w:iCs/>
                <w:lang w:eastAsia="en-AU"/>
              </w:rPr>
              <w:t xml:space="preserve">% change </w:t>
            </w:r>
            <w:r w:rsidRPr="00165450">
              <w:rPr>
                <w:rFonts w:eastAsiaTheme="minorEastAsia"/>
                <w:iCs/>
                <w:vertAlign w:val="superscript"/>
                <w:lang w:eastAsia="en-AU"/>
              </w:rPr>
              <w:t>(e)</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2.1%</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2.0%</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2.5%</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1.3%</w:t>
            </w:r>
          </w:p>
        </w:tc>
        <w:tc>
          <w:tcPr>
            <w:tcW w:w="994" w:type="dxa"/>
            <w:tcBorders>
              <w:top w:val="nil"/>
              <w:left w:val="nil"/>
              <w:bottom w:val="nil"/>
              <w:right w:val="nil"/>
            </w:tcBorders>
          </w:tcPr>
          <w:p w:rsidR="00F60B5F" w:rsidRPr="00167733" w:rsidRDefault="00F60B5F" w:rsidP="00167733">
            <w:pPr>
              <w:pStyle w:val="TableofFigures"/>
              <w:rPr>
                <w:rFonts w:eastAsiaTheme="minorEastAsia"/>
                <w:i/>
                <w:iCs/>
                <w:lang w:eastAsia="en-AU"/>
              </w:rPr>
            </w:pPr>
            <w:r w:rsidRPr="00167733">
              <w:rPr>
                <w:rFonts w:eastAsiaTheme="minorEastAsia"/>
                <w:i/>
                <w:iCs/>
                <w:lang w:eastAsia="en-AU"/>
              </w:rPr>
              <w:t>3.2%</w:t>
            </w:r>
          </w:p>
        </w:tc>
      </w:tr>
      <w:tr w:rsidR="00F60B5F" w:rsidRPr="00167733" w:rsidTr="00167733">
        <w:trPr>
          <w:cantSplit/>
        </w:trPr>
        <w:tc>
          <w:tcPr>
            <w:tcW w:w="2790" w:type="dxa"/>
            <w:tcBorders>
              <w:top w:val="single" w:sz="6" w:space="0" w:color="auto"/>
              <w:left w:val="nil"/>
              <w:bottom w:val="single" w:sz="6" w:space="0" w:color="auto"/>
              <w:right w:val="nil"/>
            </w:tcBorders>
          </w:tcPr>
          <w:p w:rsidR="00F60B5F" w:rsidRPr="00167733" w:rsidRDefault="00F60B5F" w:rsidP="00167733">
            <w:pPr>
              <w:pStyle w:val="Tabletext"/>
              <w:rPr>
                <w:rFonts w:eastAsiaTheme="minorEastAsia"/>
                <w:b/>
                <w:bCs/>
                <w:lang w:eastAsia="en-AU"/>
              </w:rPr>
            </w:pPr>
            <w:r w:rsidRPr="00167733">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xml:space="preserve"> 316.4</w:t>
            </w:r>
          </w:p>
        </w:tc>
        <w:tc>
          <w:tcPr>
            <w:tcW w:w="994" w:type="dxa"/>
            <w:tcBorders>
              <w:top w:val="single" w:sz="6" w:space="0" w:color="auto"/>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xml:space="preserve"> 221.8</w:t>
            </w:r>
          </w:p>
        </w:tc>
        <w:tc>
          <w:tcPr>
            <w:tcW w:w="994" w:type="dxa"/>
            <w:tcBorders>
              <w:top w:val="single" w:sz="6" w:space="0" w:color="auto"/>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xml:space="preserve"> 911.0</w:t>
            </w:r>
          </w:p>
        </w:tc>
        <w:tc>
          <w:tcPr>
            <w:tcW w:w="994" w:type="dxa"/>
            <w:tcBorders>
              <w:top w:val="single" w:sz="6" w:space="0" w:color="auto"/>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2 051.5</w:t>
            </w:r>
          </w:p>
        </w:tc>
        <w:tc>
          <w:tcPr>
            <w:tcW w:w="994" w:type="dxa"/>
            <w:tcBorders>
              <w:top w:val="single" w:sz="6" w:space="0" w:color="auto"/>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2 718.9</w:t>
            </w:r>
          </w:p>
        </w:tc>
      </w:tr>
      <w:tr w:rsidR="00F60B5F" w:rsidRPr="00167733" w:rsidTr="00167733">
        <w:trPr>
          <w:cantSplit/>
        </w:trPr>
        <w:tc>
          <w:tcPr>
            <w:tcW w:w="2790" w:type="dxa"/>
            <w:tcBorders>
              <w:top w:val="single" w:sz="6" w:space="0" w:color="auto"/>
              <w:left w:val="nil"/>
              <w:bottom w:val="single" w:sz="6" w:space="0" w:color="auto"/>
              <w:right w:val="nil"/>
            </w:tcBorders>
          </w:tcPr>
          <w:p w:rsidR="00F60B5F" w:rsidRPr="00167733" w:rsidRDefault="00F60B5F" w:rsidP="00167733">
            <w:pPr>
              <w:pStyle w:val="Tabletext"/>
              <w:rPr>
                <w:rFonts w:eastAsiaTheme="minorEastAsia"/>
                <w:b/>
                <w:bCs/>
                <w:lang w:eastAsia="en-AU"/>
              </w:rPr>
            </w:pPr>
            <w:r w:rsidRPr="00167733">
              <w:rPr>
                <w:rFonts w:eastAsiaTheme="minorEastAsia"/>
                <w:b/>
                <w:bCs/>
                <w:lang w:eastAsia="en-AU"/>
              </w:rPr>
              <w:t>Total other economic flows included in net result</w:t>
            </w:r>
          </w:p>
        </w:tc>
        <w:tc>
          <w:tcPr>
            <w:tcW w:w="994" w:type="dxa"/>
            <w:tcBorders>
              <w:top w:val="nil"/>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7 097.4</w:t>
            </w:r>
          </w:p>
        </w:tc>
        <w:tc>
          <w:tcPr>
            <w:tcW w:w="994" w:type="dxa"/>
            <w:tcBorders>
              <w:top w:val="nil"/>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( 163.6)</w:t>
            </w:r>
          </w:p>
        </w:tc>
        <w:tc>
          <w:tcPr>
            <w:tcW w:w="994" w:type="dxa"/>
            <w:tcBorders>
              <w:top w:val="nil"/>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( 180.4)</w:t>
            </w:r>
          </w:p>
        </w:tc>
        <w:tc>
          <w:tcPr>
            <w:tcW w:w="994" w:type="dxa"/>
            <w:tcBorders>
              <w:top w:val="nil"/>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( 222.1)</w:t>
            </w:r>
          </w:p>
        </w:tc>
        <w:tc>
          <w:tcPr>
            <w:tcW w:w="994" w:type="dxa"/>
            <w:tcBorders>
              <w:top w:val="nil"/>
              <w:left w:val="nil"/>
              <w:bottom w:val="single" w:sz="6"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( 222.9)</w:t>
            </w:r>
          </w:p>
        </w:tc>
      </w:tr>
      <w:tr w:rsidR="00F60B5F" w:rsidRPr="00167733" w:rsidTr="00167733">
        <w:trPr>
          <w:cantSplit/>
        </w:trPr>
        <w:tc>
          <w:tcPr>
            <w:tcW w:w="2790" w:type="dxa"/>
            <w:tcBorders>
              <w:top w:val="single" w:sz="6" w:space="0" w:color="auto"/>
              <w:left w:val="nil"/>
              <w:bottom w:val="single" w:sz="12" w:space="0" w:color="auto"/>
              <w:right w:val="nil"/>
            </w:tcBorders>
          </w:tcPr>
          <w:p w:rsidR="00F60B5F" w:rsidRPr="00167733" w:rsidRDefault="00F60B5F" w:rsidP="00167733">
            <w:pPr>
              <w:pStyle w:val="Tabletext"/>
              <w:rPr>
                <w:rFonts w:eastAsiaTheme="minorEastAsia"/>
                <w:b/>
                <w:bCs/>
                <w:lang w:eastAsia="en-AU"/>
              </w:rPr>
            </w:pPr>
            <w:r w:rsidRPr="00167733">
              <w:rPr>
                <w:rFonts w:eastAsiaTheme="minorEastAsia"/>
                <w:b/>
                <w:bCs/>
                <w:lang w:eastAsia="en-AU"/>
              </w:rPr>
              <w:t>Net result</w:t>
            </w:r>
          </w:p>
        </w:tc>
        <w:tc>
          <w:tcPr>
            <w:tcW w:w="994" w:type="dxa"/>
            <w:tcBorders>
              <w:top w:val="single" w:sz="6" w:space="0" w:color="auto"/>
              <w:left w:val="nil"/>
              <w:bottom w:val="single" w:sz="12"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7 413.8</w:t>
            </w:r>
          </w:p>
        </w:tc>
        <w:tc>
          <w:tcPr>
            <w:tcW w:w="994" w:type="dxa"/>
            <w:tcBorders>
              <w:top w:val="single" w:sz="6" w:space="0" w:color="auto"/>
              <w:left w:val="nil"/>
              <w:bottom w:val="single" w:sz="12"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xml:space="preserve"> 58.1</w:t>
            </w:r>
          </w:p>
        </w:tc>
        <w:tc>
          <w:tcPr>
            <w:tcW w:w="994" w:type="dxa"/>
            <w:tcBorders>
              <w:top w:val="single" w:sz="6" w:space="0" w:color="auto"/>
              <w:left w:val="nil"/>
              <w:bottom w:val="single" w:sz="12"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xml:space="preserve"> 730.6</w:t>
            </w:r>
          </w:p>
        </w:tc>
        <w:tc>
          <w:tcPr>
            <w:tcW w:w="994" w:type="dxa"/>
            <w:tcBorders>
              <w:top w:val="single" w:sz="6" w:space="0" w:color="auto"/>
              <w:left w:val="nil"/>
              <w:bottom w:val="single" w:sz="12"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1 829.4</w:t>
            </w:r>
          </w:p>
        </w:tc>
        <w:tc>
          <w:tcPr>
            <w:tcW w:w="994" w:type="dxa"/>
            <w:tcBorders>
              <w:top w:val="single" w:sz="6" w:space="0" w:color="auto"/>
              <w:left w:val="nil"/>
              <w:bottom w:val="single" w:sz="12" w:space="0" w:color="auto"/>
              <w:right w:val="nil"/>
            </w:tcBorders>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2 495.9</w:t>
            </w:r>
          </w:p>
        </w:tc>
      </w:tr>
      <w:tr w:rsidR="00F60B5F" w:rsidRPr="00167733" w:rsidTr="00167733">
        <w:trPr>
          <w:cantSplit/>
        </w:trPr>
        <w:tc>
          <w:tcPr>
            <w:tcW w:w="2790" w:type="dxa"/>
            <w:tcBorders>
              <w:top w:val="single" w:sz="12" w:space="0" w:color="auto"/>
              <w:left w:val="nil"/>
              <w:bottom w:val="single" w:sz="6" w:space="0" w:color="auto"/>
              <w:right w:val="nil"/>
            </w:tcBorders>
          </w:tcPr>
          <w:p w:rsidR="00F60B5F" w:rsidRPr="00167733" w:rsidRDefault="00F60B5F" w:rsidP="00167733">
            <w:pPr>
              <w:pStyle w:val="Tabletext"/>
              <w:rPr>
                <w:rFonts w:eastAsiaTheme="minorEastAsia"/>
                <w:lang w:eastAsia="en-AU"/>
              </w:rPr>
            </w:pPr>
            <w:r w:rsidRPr="00167733">
              <w:rPr>
                <w:rFonts w:eastAsiaTheme="minorEastAsia"/>
                <w:lang w:eastAsia="en-AU"/>
              </w:rPr>
              <w:t>Expected return on superannuation assets taken to other comprehensive income and not included in net result from transactions</w:t>
            </w:r>
          </w:p>
        </w:tc>
        <w:tc>
          <w:tcPr>
            <w:tcW w:w="994" w:type="dxa"/>
            <w:tcBorders>
              <w:top w:val="single" w:sz="12" w:space="0" w:color="auto"/>
              <w:left w:val="nil"/>
              <w:bottom w:val="single" w:sz="6" w:space="0" w:color="auto"/>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w:t>
            </w:r>
          </w:p>
        </w:tc>
        <w:tc>
          <w:tcPr>
            <w:tcW w:w="994" w:type="dxa"/>
            <w:tcBorders>
              <w:top w:val="single" w:sz="12" w:space="0" w:color="auto"/>
              <w:left w:val="nil"/>
              <w:bottom w:val="single" w:sz="6" w:space="0" w:color="auto"/>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541.2</w:t>
            </w:r>
          </w:p>
        </w:tc>
        <w:tc>
          <w:tcPr>
            <w:tcW w:w="994" w:type="dxa"/>
            <w:tcBorders>
              <w:top w:val="single" w:sz="12" w:space="0" w:color="auto"/>
              <w:left w:val="nil"/>
              <w:bottom w:val="single" w:sz="6" w:space="0" w:color="auto"/>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564.7</w:t>
            </w:r>
          </w:p>
        </w:tc>
        <w:tc>
          <w:tcPr>
            <w:tcW w:w="994" w:type="dxa"/>
            <w:tcBorders>
              <w:top w:val="single" w:sz="12" w:space="0" w:color="auto"/>
              <w:left w:val="nil"/>
              <w:bottom w:val="single" w:sz="6" w:space="0" w:color="auto"/>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576.8</w:t>
            </w:r>
          </w:p>
        </w:tc>
        <w:tc>
          <w:tcPr>
            <w:tcW w:w="994" w:type="dxa"/>
            <w:tcBorders>
              <w:top w:val="single" w:sz="12" w:space="0" w:color="auto"/>
              <w:left w:val="nil"/>
              <w:bottom w:val="single" w:sz="6" w:space="0" w:color="auto"/>
              <w:right w:val="nil"/>
            </w:tcBorders>
          </w:tcPr>
          <w:p w:rsidR="00F60B5F" w:rsidRPr="00167733" w:rsidRDefault="00F60B5F" w:rsidP="00167733">
            <w:pPr>
              <w:pStyle w:val="TableofFigures"/>
              <w:rPr>
                <w:rFonts w:eastAsiaTheme="minorEastAsia"/>
                <w:lang w:eastAsia="en-AU"/>
              </w:rPr>
            </w:pPr>
            <w:r w:rsidRPr="00167733">
              <w:rPr>
                <w:rFonts w:eastAsiaTheme="minorEastAsia"/>
                <w:lang w:eastAsia="en-AU"/>
              </w:rPr>
              <w:t xml:space="preserve"> 588.2</w:t>
            </w:r>
          </w:p>
        </w:tc>
      </w:tr>
      <w:tr w:rsidR="00F60B5F" w:rsidRPr="00167733" w:rsidTr="00167733">
        <w:trPr>
          <w:cantSplit/>
        </w:trPr>
        <w:tc>
          <w:tcPr>
            <w:tcW w:w="2790" w:type="dxa"/>
            <w:tcBorders>
              <w:top w:val="single" w:sz="6" w:space="0" w:color="auto"/>
              <w:left w:val="nil"/>
              <w:bottom w:val="single" w:sz="12" w:space="0" w:color="000000"/>
              <w:right w:val="nil"/>
            </w:tcBorders>
            <w:shd w:val="clear" w:color="auto" w:fill="auto"/>
          </w:tcPr>
          <w:p w:rsidR="00F60B5F" w:rsidRPr="00167733" w:rsidRDefault="00F60B5F" w:rsidP="00167733">
            <w:pPr>
              <w:pStyle w:val="Tabletext"/>
              <w:rPr>
                <w:rFonts w:eastAsiaTheme="minorEastAsia"/>
                <w:b/>
                <w:bCs/>
                <w:vertAlign w:val="superscript"/>
                <w:lang w:eastAsia="en-AU"/>
              </w:rPr>
            </w:pPr>
            <w:r w:rsidRPr="00167733">
              <w:rPr>
                <w:rFonts w:eastAsiaTheme="minorEastAsia"/>
                <w:b/>
                <w:bCs/>
                <w:lang w:eastAsia="en-AU"/>
              </w:rPr>
              <w:t xml:space="preserve">Government fiscal result </w:t>
            </w:r>
            <w:r w:rsidRPr="00167733">
              <w:rPr>
                <w:rFonts w:eastAsiaTheme="minorEastAsia"/>
                <w:b/>
                <w:bCs/>
                <w:vertAlign w:val="superscript"/>
                <w:lang w:eastAsia="en-AU"/>
              </w:rPr>
              <w:t>(f)</w:t>
            </w:r>
          </w:p>
        </w:tc>
        <w:tc>
          <w:tcPr>
            <w:tcW w:w="994" w:type="dxa"/>
            <w:tcBorders>
              <w:top w:val="single" w:sz="6" w:space="0" w:color="auto"/>
              <w:left w:val="nil"/>
              <w:bottom w:val="single" w:sz="12" w:space="0" w:color="000000"/>
              <w:right w:val="nil"/>
            </w:tcBorders>
            <w:shd w:val="clear" w:color="auto" w:fill="auto"/>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xml:space="preserve"> 316.4</w:t>
            </w:r>
          </w:p>
        </w:tc>
        <w:tc>
          <w:tcPr>
            <w:tcW w:w="994" w:type="dxa"/>
            <w:tcBorders>
              <w:top w:val="single" w:sz="6" w:space="0" w:color="auto"/>
              <w:left w:val="nil"/>
              <w:bottom w:val="single" w:sz="12" w:space="0" w:color="000000"/>
              <w:right w:val="nil"/>
            </w:tcBorders>
            <w:shd w:val="clear" w:color="auto" w:fill="auto"/>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 xml:space="preserve"> 762.9</w:t>
            </w:r>
          </w:p>
        </w:tc>
        <w:tc>
          <w:tcPr>
            <w:tcW w:w="994" w:type="dxa"/>
            <w:tcBorders>
              <w:top w:val="single" w:sz="6" w:space="0" w:color="auto"/>
              <w:left w:val="nil"/>
              <w:bottom w:val="single" w:sz="12" w:space="0" w:color="000000"/>
              <w:right w:val="nil"/>
            </w:tcBorders>
            <w:shd w:val="clear" w:color="auto" w:fill="auto"/>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1 475.7</w:t>
            </w:r>
          </w:p>
        </w:tc>
        <w:tc>
          <w:tcPr>
            <w:tcW w:w="994" w:type="dxa"/>
            <w:tcBorders>
              <w:top w:val="single" w:sz="6" w:space="0" w:color="auto"/>
              <w:left w:val="nil"/>
              <w:bottom w:val="single" w:sz="12" w:space="0" w:color="000000"/>
              <w:right w:val="nil"/>
            </w:tcBorders>
            <w:shd w:val="clear" w:color="auto" w:fill="auto"/>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2 628.2</w:t>
            </w:r>
          </w:p>
        </w:tc>
        <w:tc>
          <w:tcPr>
            <w:tcW w:w="994" w:type="dxa"/>
            <w:tcBorders>
              <w:top w:val="single" w:sz="6" w:space="0" w:color="auto"/>
              <w:left w:val="nil"/>
              <w:bottom w:val="single" w:sz="12" w:space="0" w:color="000000"/>
              <w:right w:val="nil"/>
            </w:tcBorders>
            <w:shd w:val="clear" w:color="auto" w:fill="auto"/>
          </w:tcPr>
          <w:p w:rsidR="00F60B5F" w:rsidRPr="00167733" w:rsidRDefault="00F60B5F" w:rsidP="00167733">
            <w:pPr>
              <w:pStyle w:val="TableofFigures"/>
              <w:rPr>
                <w:rFonts w:eastAsiaTheme="minorEastAsia"/>
                <w:b/>
                <w:bCs/>
                <w:lang w:eastAsia="en-AU"/>
              </w:rPr>
            </w:pPr>
            <w:r w:rsidRPr="00167733">
              <w:rPr>
                <w:rFonts w:eastAsiaTheme="minorEastAsia"/>
                <w:b/>
                <w:bCs/>
                <w:lang w:eastAsia="en-AU"/>
              </w:rPr>
              <w:t>3 307.0</w:t>
            </w:r>
          </w:p>
        </w:tc>
      </w:tr>
    </w:tbl>
    <w:p w:rsidR="00F60B5F" w:rsidRPr="00D7423E" w:rsidRDefault="00F60B5F" w:rsidP="004C49C2">
      <w:pPr>
        <w:pStyle w:val="Source"/>
      </w:pPr>
      <w:r w:rsidRPr="00D7423E">
        <w:t>Source: Department of Treasury and Finance</w:t>
      </w:r>
    </w:p>
    <w:p w:rsidR="00F60B5F" w:rsidRPr="00D7423E" w:rsidRDefault="00F60B5F" w:rsidP="00CC4CE3">
      <w:pPr>
        <w:pStyle w:val="Notes"/>
      </w:pPr>
      <w:r w:rsidRPr="00D7423E">
        <w:t>Notes:</w:t>
      </w:r>
    </w:p>
    <w:p w:rsidR="00F60B5F" w:rsidRPr="00D7423E" w:rsidRDefault="00F60B5F" w:rsidP="00CC4CE3">
      <w:pPr>
        <w:pStyle w:val="Notes"/>
      </w:pPr>
      <w:r w:rsidRPr="00D7423E">
        <w:t>(a)</w:t>
      </w:r>
      <w:r w:rsidRPr="00D7423E">
        <w:tab/>
      </w:r>
      <w:r>
        <w:t xml:space="preserve">This is an abbreviated operating statement. The comprehensive operating statement is presented in </w:t>
      </w:r>
      <w:r w:rsidRPr="00A0146C">
        <w:t>Chapter</w:t>
      </w:r>
      <w:r>
        <w:t xml:space="preserve"> 5</w:t>
      </w:r>
      <w:r>
        <w:rPr>
          <w:i w:val="0"/>
        </w:rPr>
        <w:t xml:space="preserve"> </w:t>
      </w:r>
      <w:r w:rsidRPr="00D7423E">
        <w:rPr>
          <w:i w:val="0"/>
        </w:rPr>
        <w:t>Estimated financial statements and notes</w:t>
      </w:r>
      <w:r>
        <w:rPr>
          <w:i w:val="0"/>
        </w:rPr>
        <w:t xml:space="preserve">, </w:t>
      </w:r>
      <w:r w:rsidRPr="00D7423E">
        <w:t>and provides additional information on economic</w:t>
      </w:r>
      <w:r>
        <w:t xml:space="preserve"> </w:t>
      </w:r>
      <w:r w:rsidRPr="00D7423E">
        <w:t>f</w:t>
      </w:r>
      <w:r>
        <w:t>low measurements which, when added to the net result from transactions, yields the net result</w:t>
      </w:r>
      <w:r w:rsidRPr="00D7423E">
        <w:t>.</w:t>
      </w:r>
    </w:p>
    <w:p w:rsidR="00F60B5F" w:rsidRPr="00D7423E" w:rsidRDefault="00F60B5F" w:rsidP="00CC4CE3">
      <w:pPr>
        <w:pStyle w:val="Notes"/>
      </w:pPr>
      <w:r w:rsidRPr="00D7423E">
        <w:t>(b)</w:t>
      </w:r>
      <w:r w:rsidRPr="00D7423E">
        <w:tab/>
      </w:r>
      <w:r>
        <w:t>Figures for 2012</w:t>
      </w:r>
      <w:r>
        <w:noBreakHyphen/>
        <w:t xml:space="preserve">13 are prepared under accounting standards relevant at the time, which do not take into account the changes to the revised </w:t>
      </w:r>
      <w:r>
        <w:rPr>
          <w:i w:val="0"/>
        </w:rPr>
        <w:t>AASB </w:t>
      </w:r>
      <w:r w:rsidRPr="00DD50A8">
        <w:rPr>
          <w:i w:val="0"/>
        </w:rPr>
        <w:t>119 Employee Benefits</w:t>
      </w:r>
      <w:r w:rsidRPr="00D7423E">
        <w:t>.</w:t>
      </w:r>
    </w:p>
    <w:p w:rsidR="00F60B5F" w:rsidRPr="00D7423E" w:rsidRDefault="00F60B5F" w:rsidP="00CC4CE3">
      <w:pPr>
        <w:pStyle w:val="Notes"/>
      </w:pPr>
      <w:r w:rsidRPr="00D7423E">
        <w:t>(c)</w:t>
      </w:r>
      <w:r w:rsidRPr="00D7423E">
        <w:tab/>
      </w:r>
      <w:r>
        <w:t>Comprises dividends, income tax and rate equivalent revenue and interest revenue</w:t>
      </w:r>
      <w:r w:rsidRPr="00D7423E">
        <w:t>.</w:t>
      </w:r>
    </w:p>
    <w:p w:rsidR="00F60B5F" w:rsidRDefault="00F60B5F" w:rsidP="00CC4CE3">
      <w:pPr>
        <w:pStyle w:val="Notes"/>
      </w:pPr>
      <w:r w:rsidRPr="00D7423E">
        <w:t>(d)</w:t>
      </w:r>
      <w:r w:rsidRPr="00D7423E">
        <w:tab/>
      </w:r>
      <w:r>
        <w:t>Comprises superannuation interest expense and other superannuation expenses</w:t>
      </w:r>
      <w:r w:rsidRPr="00D7423E">
        <w:t>.</w:t>
      </w:r>
    </w:p>
    <w:p w:rsidR="00F60B5F" w:rsidRDefault="00F60B5F" w:rsidP="00CC4CE3">
      <w:pPr>
        <w:pStyle w:val="Notes"/>
      </w:pPr>
      <w:r>
        <w:t>(e)</w:t>
      </w:r>
      <w:r>
        <w:tab/>
        <w:t>The estimated expense growth f</w:t>
      </w:r>
      <w:r w:rsidRPr="00072CD4">
        <w:t>o</w:t>
      </w:r>
      <w:r>
        <w:t>r</w:t>
      </w:r>
      <w:r w:rsidRPr="00072CD4">
        <w:t xml:space="preserve"> 2013</w:t>
      </w:r>
      <w:r>
        <w:noBreakHyphen/>
      </w:r>
      <w:r w:rsidRPr="00072CD4">
        <w:t xml:space="preserve">14 </w:t>
      </w:r>
      <w:r>
        <w:t>excludes</w:t>
      </w:r>
      <w:r w:rsidRPr="00072CD4">
        <w:t xml:space="preserve"> the impact of the revised </w:t>
      </w:r>
      <w:r>
        <w:t>AASB </w:t>
      </w:r>
      <w:r w:rsidRPr="00A0146C">
        <w:t>119</w:t>
      </w:r>
      <w:r w:rsidRPr="00072CD4">
        <w:rPr>
          <w:i w:val="0"/>
        </w:rPr>
        <w:t xml:space="preserve"> Employee Benefits</w:t>
      </w:r>
      <w:r w:rsidRPr="00072CD4">
        <w:t>.</w:t>
      </w:r>
    </w:p>
    <w:p w:rsidR="00F60B5F" w:rsidRPr="00D7423E" w:rsidRDefault="00F60B5F" w:rsidP="00CC4CE3">
      <w:pPr>
        <w:pStyle w:val="Notes"/>
      </w:pPr>
      <w:r>
        <w:t>(f)</w:t>
      </w:r>
      <w:r>
        <w:tab/>
        <w:t xml:space="preserve">Equals the net result from transactions after excluding the impact of the revised AASB 119 </w:t>
      </w:r>
      <w:r w:rsidRPr="00A0146C">
        <w:rPr>
          <w:i w:val="0"/>
        </w:rPr>
        <w:t>Employee Benefits</w:t>
      </w:r>
      <w:r>
        <w:t>, which applies from 2013</w:t>
      </w:r>
      <w:r>
        <w:noBreakHyphen/>
        <w:t>14 onwards.</w:t>
      </w:r>
    </w:p>
    <w:p w:rsidR="00F60B5F" w:rsidRPr="004563D8" w:rsidRDefault="00F60B5F" w:rsidP="00CC4CE3">
      <w:pPr>
        <w:pStyle w:val="Heading3"/>
      </w:pPr>
      <w:r>
        <w:t>Revenue outlook</w:t>
      </w:r>
    </w:p>
    <w:p w:rsidR="00F60B5F" w:rsidRPr="00461BF9" w:rsidRDefault="00F60B5F" w:rsidP="00CC4CE3">
      <w:r>
        <w:t xml:space="preserve">Revenue is expected to grow </w:t>
      </w:r>
      <w:r w:rsidRPr="00461BF9">
        <w:t>by 2.9</w:t>
      </w:r>
      <w:r>
        <w:t> per cent</w:t>
      </w:r>
      <w:r w:rsidRPr="00461BF9">
        <w:t xml:space="preserve"> in 2013</w:t>
      </w:r>
      <w:r>
        <w:noBreakHyphen/>
      </w:r>
      <w:r w:rsidRPr="00461BF9">
        <w:t>14, reflecting a moderately improving Victorian and national economy. Over the forward estimates period, revenue is expected to increase by 3.9</w:t>
      </w:r>
      <w:r>
        <w:t> per cent a year on average. However, a return to the 7.3 per cent</w:t>
      </w:r>
      <w:r w:rsidRPr="00461BF9">
        <w:t xml:space="preserve"> average growth rate of the previous decade to 2009</w:t>
      </w:r>
      <w:r>
        <w:noBreakHyphen/>
      </w:r>
      <w:r w:rsidRPr="00461BF9">
        <w:t>10 is unlikely.</w:t>
      </w:r>
    </w:p>
    <w:p w:rsidR="00F60B5F" w:rsidRPr="00461BF9" w:rsidRDefault="00F60B5F" w:rsidP="00CC4CE3">
      <w:r w:rsidRPr="00461BF9">
        <w:t>State taxation revenue is expected to grow by 6.2</w:t>
      </w:r>
      <w:r>
        <w:t> per cent</w:t>
      </w:r>
      <w:r w:rsidRPr="00461BF9">
        <w:t xml:space="preserve"> in 2013</w:t>
      </w:r>
      <w:r>
        <w:noBreakHyphen/>
      </w:r>
      <w:r w:rsidRPr="00461BF9">
        <w:t>14, largely driven by the expected recovery in land transfer duty but partly offset by below</w:t>
      </w:r>
      <w:r>
        <w:noBreakHyphen/>
      </w:r>
      <w:r w:rsidRPr="00461BF9">
        <w:t>trend growth in other major components of the tax base. Over the forward estimates period, taxation revenue is forecast to grow at an average of 5.4</w:t>
      </w:r>
      <w:r>
        <w:t> per cent</w:t>
      </w:r>
      <w:r w:rsidRPr="00461BF9">
        <w:t xml:space="preserve"> a year as the Victorian and national economy returns to higher growth. Specifically:</w:t>
      </w:r>
    </w:p>
    <w:p w:rsidR="00F60B5F" w:rsidRPr="00461BF9" w:rsidRDefault="00F60B5F" w:rsidP="00CC4CE3">
      <w:pPr>
        <w:pStyle w:val="BulletText"/>
      </w:pPr>
      <w:r w:rsidRPr="00461BF9">
        <w:t>payroll tax is expected to grow by 3.3</w:t>
      </w:r>
      <w:r>
        <w:t> per cent</w:t>
      </w:r>
      <w:r w:rsidRPr="00461BF9">
        <w:t xml:space="preserve"> in 2013</w:t>
      </w:r>
      <w:r>
        <w:noBreakHyphen/>
      </w:r>
      <w:r w:rsidRPr="00461BF9">
        <w:t>14 and 5.6</w:t>
      </w:r>
      <w:r>
        <w:t> per cent</w:t>
      </w:r>
      <w:r w:rsidRPr="00461BF9">
        <w:t xml:space="preserve"> a year on average over the forward estimates period, consistent with the expected recovery in the labour market;</w:t>
      </w:r>
    </w:p>
    <w:p w:rsidR="00F60B5F" w:rsidRPr="00461BF9" w:rsidRDefault="00F60B5F" w:rsidP="00CC4CE3">
      <w:pPr>
        <w:pStyle w:val="BulletText"/>
      </w:pPr>
      <w:r w:rsidRPr="00461BF9">
        <w:t>land tax revenue is expected to fall by 1.4</w:t>
      </w:r>
      <w:r>
        <w:t> per cent</w:t>
      </w:r>
      <w:r w:rsidRPr="00461BF9">
        <w:t xml:space="preserve"> in 2013</w:t>
      </w:r>
      <w:r>
        <w:noBreakHyphen/>
      </w:r>
      <w:r w:rsidRPr="00461BF9">
        <w:t>14 following growth of 13.4</w:t>
      </w:r>
      <w:r>
        <w:t> per cent</w:t>
      </w:r>
      <w:r w:rsidRPr="00461BF9">
        <w:t xml:space="preserve"> in 2012</w:t>
      </w:r>
      <w:r>
        <w:noBreakHyphen/>
      </w:r>
      <w:r w:rsidRPr="00461BF9">
        <w:t>13, reflecting the biennial land tax revaluation cycle. Growth is expected to return to 8.2</w:t>
      </w:r>
      <w:r>
        <w:t> per cent</w:t>
      </w:r>
      <w:r w:rsidRPr="00461BF9">
        <w:t xml:space="preserve"> a year on average over the forward estimates period;</w:t>
      </w:r>
    </w:p>
    <w:p w:rsidR="00F60B5F" w:rsidRPr="00461BF9" w:rsidRDefault="00F60B5F" w:rsidP="00CC4CE3">
      <w:pPr>
        <w:pStyle w:val="BulletText"/>
      </w:pPr>
      <w:r w:rsidRPr="00461BF9">
        <w:t>land transfer duty is expected to increase by 19.3</w:t>
      </w:r>
      <w:r>
        <w:t> per cent</w:t>
      </w:r>
      <w:r w:rsidRPr="00461BF9">
        <w:t xml:space="preserve"> in 2013</w:t>
      </w:r>
      <w:r>
        <w:noBreakHyphen/>
      </w:r>
      <w:r w:rsidRPr="00461BF9">
        <w:t>14, returning to 2010</w:t>
      </w:r>
      <w:r>
        <w:noBreakHyphen/>
      </w:r>
      <w:r w:rsidRPr="00461BF9">
        <w:t>11 levels following two years of decline. The improvement in the Victorian property market is expected to continue driving growth of 6.0</w:t>
      </w:r>
      <w:r>
        <w:t> per cent</w:t>
      </w:r>
      <w:r w:rsidRPr="00461BF9">
        <w:t xml:space="preserve"> a year on average over the forward estimates period;</w:t>
      </w:r>
    </w:p>
    <w:p w:rsidR="00F60B5F" w:rsidRPr="00461BF9" w:rsidRDefault="00F60B5F" w:rsidP="00D82AA1">
      <w:pPr>
        <w:pStyle w:val="BulletText"/>
      </w:pPr>
      <w:r w:rsidRPr="00461BF9">
        <w:t>gambling taxes are expected to decline by 0.2</w:t>
      </w:r>
      <w:r>
        <w:t> per cent</w:t>
      </w:r>
      <w:r w:rsidRPr="00461BF9">
        <w:t xml:space="preserve"> in 2013</w:t>
      </w:r>
      <w:r>
        <w:noBreakHyphen/>
      </w:r>
      <w:r w:rsidRPr="00461BF9">
        <w:t xml:space="preserve">14, reflecting subdued growth in household consumption and an expected continued decline in the share of consumption allocated to electronic gaming machine expenditure. However, this weakness is expected to be partly offset by the gambling revenue initiatives detailed in </w:t>
      </w:r>
      <w:r w:rsidRPr="008A19A5">
        <w:t>Appendix A</w:t>
      </w:r>
      <w:r w:rsidRPr="00461BF9">
        <w:rPr>
          <w:i/>
        </w:rPr>
        <w:t xml:space="preserve"> Specific policy initiatives affecting budget position</w:t>
      </w:r>
      <w:r w:rsidRPr="00461BF9">
        <w:t>. As a result, gambling taxes are expected to return to steady growth of 4.3</w:t>
      </w:r>
      <w:r>
        <w:t> per cent</w:t>
      </w:r>
      <w:r w:rsidRPr="00461BF9">
        <w:t xml:space="preserve"> a year on average across the forward estimates period;</w:t>
      </w:r>
    </w:p>
    <w:p w:rsidR="00F60B5F" w:rsidRPr="00461BF9" w:rsidRDefault="00F60B5F" w:rsidP="00CC4CE3">
      <w:pPr>
        <w:pStyle w:val="BulletText"/>
      </w:pPr>
      <w:r w:rsidRPr="00461BF9">
        <w:t>taxes on insurance (excluding contributions to fire services) are expected to decrease by 1.3</w:t>
      </w:r>
      <w:r>
        <w:t> per cent</w:t>
      </w:r>
      <w:r w:rsidRPr="00461BF9">
        <w:t xml:space="preserve"> in 2013</w:t>
      </w:r>
      <w:r>
        <w:noBreakHyphen/>
      </w:r>
      <w:r w:rsidRPr="00461BF9">
        <w:t>14 reflecting the removal of stamp duty that was charged on top of the previous insurance</w:t>
      </w:r>
      <w:r>
        <w:noBreakHyphen/>
      </w:r>
      <w:r w:rsidRPr="00461BF9">
        <w:t>based fire services levy. The insurance</w:t>
      </w:r>
      <w:r>
        <w:noBreakHyphen/>
      </w:r>
      <w:r w:rsidRPr="00461BF9">
        <w:t>based fires services levy was replaced by the Fire Services Property Levy. Thereafter, growth in taxes on insurance is expected to average 6.5</w:t>
      </w:r>
      <w:r>
        <w:t> per cent</w:t>
      </w:r>
      <w:r w:rsidRPr="00461BF9">
        <w:t xml:space="preserve"> a year over the forward estimates period; and</w:t>
      </w:r>
    </w:p>
    <w:p w:rsidR="00F60B5F" w:rsidRPr="00461BF9" w:rsidRDefault="00F60B5F" w:rsidP="00CC4CE3">
      <w:pPr>
        <w:pStyle w:val="BulletText"/>
      </w:pPr>
      <w:r w:rsidRPr="00461BF9">
        <w:t>motor vehicle taxes are expected to grow by 3.7</w:t>
      </w:r>
      <w:r>
        <w:t> per cent</w:t>
      </w:r>
      <w:r w:rsidRPr="00461BF9">
        <w:t xml:space="preserve"> in 2013</w:t>
      </w:r>
      <w:r>
        <w:noBreakHyphen/>
      </w:r>
      <w:r w:rsidRPr="00461BF9">
        <w:t>14 and 4.5</w:t>
      </w:r>
      <w:r>
        <w:t> per cent</w:t>
      </w:r>
      <w:r w:rsidRPr="00461BF9">
        <w:t xml:space="preserve"> a year on average across the forward estimates period, underpinned by both population and economic growth.</w:t>
      </w:r>
    </w:p>
    <w:p w:rsidR="00F60B5F" w:rsidRDefault="00F60B5F" w:rsidP="00CC4CE3">
      <w:r w:rsidRPr="00461BF9">
        <w:t>GST grants revenue is projected to grow by 4.1</w:t>
      </w:r>
      <w:r>
        <w:t> per cent</w:t>
      </w:r>
      <w:r w:rsidRPr="00461BF9">
        <w:t xml:space="preserve"> in 2013</w:t>
      </w:r>
      <w:r>
        <w:noBreakHyphen/>
      </w:r>
      <w:r w:rsidRPr="00461BF9">
        <w:t>14 and 6.4</w:t>
      </w:r>
      <w:r>
        <w:t> per cent a year on average over the forward estimates period, reflecting an expectation of trend growth in the GST national pool and an increase in Victoria’s share in the pool towards the end of the period.</w:t>
      </w:r>
    </w:p>
    <w:p w:rsidR="00F60B5F" w:rsidRDefault="00F60B5F">
      <w:pPr>
        <w:spacing w:after="0"/>
      </w:pPr>
      <w:r>
        <w:br w:type="page"/>
      </w:r>
    </w:p>
    <w:p w:rsidR="00F60B5F" w:rsidRDefault="00F60B5F" w:rsidP="00CC4CE3">
      <w:r>
        <w:t xml:space="preserve">Other grants revenue is anticipated to increase </w:t>
      </w:r>
      <w:r w:rsidRPr="00461BF9">
        <w:t>by 8.2</w:t>
      </w:r>
      <w:r>
        <w:t> per cent</w:t>
      </w:r>
      <w:r w:rsidRPr="00461BF9">
        <w:t xml:space="preserve"> in 2013</w:t>
      </w:r>
      <w:r>
        <w:noBreakHyphen/>
      </w:r>
      <w:r w:rsidRPr="00461BF9">
        <w:t>14, following a fall of 10.7</w:t>
      </w:r>
      <w:r>
        <w:t> per cent</w:t>
      </w:r>
      <w:r w:rsidRPr="00461BF9">
        <w:t xml:space="preserve"> in 2012</w:t>
      </w:r>
      <w:r>
        <w:noBreakHyphen/>
      </w:r>
      <w:r w:rsidRPr="00461BF9">
        <w:t>13. The growth in 2013</w:t>
      </w:r>
      <w:r>
        <w:noBreakHyphen/>
      </w:r>
      <w:r w:rsidRPr="00461BF9">
        <w:t>14 reflects</w:t>
      </w:r>
      <w:r w:rsidRPr="00CC2DDF">
        <w:t xml:space="preserve"> increased revenue under the National Health Reform agreement</w:t>
      </w:r>
      <w:r>
        <w:t>, grants</w:t>
      </w:r>
      <w:r w:rsidRPr="00CC2DDF">
        <w:t xml:space="preserve"> </w:t>
      </w:r>
      <w:r>
        <w:t xml:space="preserve">to schools </w:t>
      </w:r>
      <w:r w:rsidRPr="00CC2DDF">
        <w:t>and capital grants for road and rail projects</w:t>
      </w:r>
      <w:r>
        <w:t>. Growth over the forward estimates period reflects the funding arrangements for national agreements in the education and health portfolios, partly offset by the cessation of Regional Rail Link funding in 2015</w:t>
      </w:r>
      <w:r>
        <w:noBreakHyphen/>
        <w:t>16 and the removal of Home and Community Care grants revenue beyond 2014</w:t>
      </w:r>
      <w:r>
        <w:noBreakHyphen/>
        <w:t xml:space="preserve">15 due to </w:t>
      </w:r>
      <w:r w:rsidRPr="002F1258">
        <w:t>the transfer of responsibility for over 65s to the Commonwealth</w:t>
      </w:r>
      <w:r>
        <w:t xml:space="preserve">. </w:t>
      </w:r>
    </w:p>
    <w:p w:rsidR="00F60B5F" w:rsidRDefault="00F60B5F" w:rsidP="00CC4CE3">
      <w:r>
        <w:t xml:space="preserve">Total dividend, income tax equivalent and interest revenue is expected to decrease by </w:t>
      </w:r>
      <w:r w:rsidRPr="00461BF9">
        <w:t>30.9</w:t>
      </w:r>
      <w:r>
        <w:t> per cent</w:t>
      </w:r>
      <w:r w:rsidRPr="00461BF9">
        <w:t xml:space="preserve"> in 2013</w:t>
      </w:r>
      <w:r>
        <w:noBreakHyphen/>
      </w:r>
      <w:r w:rsidRPr="00461BF9">
        <w:t>14, largely as a result of dividends from the State Electricity Commission of Victoria (SECV) received in 2012</w:t>
      </w:r>
      <w:r>
        <w:noBreakHyphen/>
      </w:r>
      <w:r w:rsidRPr="00461BF9">
        <w:t>13. Interest revenue will increase in 2013</w:t>
      </w:r>
      <w:r>
        <w:noBreakHyphen/>
      </w:r>
      <w:r w:rsidRPr="00461BF9">
        <w:t>14 due to the first full year of interest on the back</w:t>
      </w:r>
      <w:r>
        <w:noBreakHyphen/>
      </w:r>
      <w:r w:rsidRPr="00461BF9">
        <w:t>to</w:t>
      </w:r>
      <w:r>
        <w:noBreakHyphen/>
      </w:r>
      <w:r w:rsidRPr="00461BF9">
        <w:t>back finance lease arrangement between the Government and Melbourne Water Corporation for the Victorian desalination plant. Across the forward estimates period, interest income will remain stable, while dividend and income tax equivalent revenue is expected to increase by 6.4</w:t>
      </w:r>
      <w:r>
        <w:t> per cent a year on average, broadly in line with the projected performance of water sector corporations and State</w:t>
      </w:r>
      <w:r>
        <w:noBreakHyphen/>
        <w:t xml:space="preserve">owned insurers. </w:t>
      </w:r>
    </w:p>
    <w:p w:rsidR="00F60B5F" w:rsidRPr="00461BF9" w:rsidRDefault="00F60B5F" w:rsidP="00CC4CE3">
      <w:r>
        <w:t xml:space="preserve">Revenue from the sales of goods and services is expected to </w:t>
      </w:r>
      <w:r w:rsidRPr="00461BF9">
        <w:t>decrease by 2.2</w:t>
      </w:r>
      <w:r>
        <w:t> per cent</w:t>
      </w:r>
      <w:r w:rsidRPr="00461BF9">
        <w:t xml:space="preserve"> in 2013</w:t>
      </w:r>
      <w:r>
        <w:noBreakHyphen/>
      </w:r>
      <w:r w:rsidRPr="00461BF9">
        <w:t>14 following a large one</w:t>
      </w:r>
      <w:r>
        <w:noBreakHyphen/>
      </w:r>
      <w:r w:rsidRPr="00461BF9">
        <w:t>off recognition of revenue from the commissioning of the Victorian desalination plant in 2012</w:t>
      </w:r>
      <w:r>
        <w:noBreakHyphen/>
      </w:r>
      <w:r w:rsidRPr="00461BF9">
        <w:t xml:space="preserve">13. This reduction also reflects the contracted change in public transport fare revenue sharing arrangements with Metro Trains and Yarra Trams following the full rollout of the </w:t>
      </w:r>
      <w:r w:rsidRPr="00CB2CAB">
        <w:rPr>
          <w:i/>
        </w:rPr>
        <w:t>myki</w:t>
      </w:r>
      <w:r w:rsidRPr="00461BF9">
        <w:t xml:space="preserve"> ticketing system. Revenue from the sales of good and services is expected to grow 0.9</w:t>
      </w:r>
      <w:r>
        <w:t> per cent</w:t>
      </w:r>
      <w:r w:rsidRPr="00461BF9">
        <w:t xml:space="preserve"> a year on average over the forward estimates period.</w:t>
      </w:r>
    </w:p>
    <w:p w:rsidR="00F60B5F" w:rsidRPr="00802063" w:rsidRDefault="00F60B5F" w:rsidP="00CC4CE3">
      <w:r w:rsidRPr="00461BF9">
        <w:t>Other current revenue includes fines, royalties, donations and gifts in addition to assets received free of charge and other miscellaneous revenues. This revenue is anticipated to decrease by 5.5</w:t>
      </w:r>
      <w:r>
        <w:t> per cent</w:t>
      </w:r>
      <w:r w:rsidRPr="00461BF9">
        <w:t xml:space="preserve"> in 2013</w:t>
      </w:r>
      <w:r>
        <w:noBreakHyphen/>
      </w:r>
      <w:r w:rsidRPr="00461BF9">
        <w:t>14, reflecting the one</w:t>
      </w:r>
      <w:r>
        <w:noBreakHyphen/>
      </w:r>
      <w:r w:rsidRPr="00461BF9">
        <w:t>off impacts of higher than expected assets received free of</w:t>
      </w:r>
      <w:r>
        <w:t xml:space="preserve"> charge by VicRoads and Public Transport Victoria in 2012</w:t>
      </w:r>
      <w:r>
        <w:noBreakHyphen/>
        <w:t>13. Other current revenue is projected to be stable over the forward estimates period.</w:t>
      </w:r>
    </w:p>
    <w:p w:rsidR="00F60B5F" w:rsidRDefault="00F60B5F" w:rsidP="00CC4CE3">
      <w:pPr>
        <w:pStyle w:val="Heading3"/>
      </w:pPr>
      <w:r>
        <w:t>Expenses outlook</w:t>
      </w:r>
    </w:p>
    <w:p w:rsidR="00F60B5F" w:rsidRDefault="00F60B5F" w:rsidP="00CC4CE3">
      <w:r>
        <w:t xml:space="preserve">The Government will spend an </w:t>
      </w:r>
      <w:r w:rsidRPr="00461BF9">
        <w:t>estimated $49.8</w:t>
      </w:r>
      <w:r>
        <w:t> billion</w:t>
      </w:r>
      <w:r w:rsidRPr="00461BF9">
        <w:t xml:space="preserve"> on service delivery in 2013</w:t>
      </w:r>
      <w:r>
        <w:noBreakHyphen/>
      </w:r>
      <w:r w:rsidRPr="00461BF9">
        <w:t>14. Total expenses are projected to grow by 2.0</w:t>
      </w:r>
      <w:r>
        <w:t> per cent</w:t>
      </w:r>
      <w:r w:rsidRPr="00461BF9">
        <w:t xml:space="preserve"> in 2013</w:t>
      </w:r>
      <w:r>
        <w:noBreakHyphen/>
      </w:r>
      <w:r w:rsidRPr="00461BF9">
        <w:t>14 and 2.3</w:t>
      </w:r>
      <w:r>
        <w:t> per cent</w:t>
      </w:r>
      <w:r w:rsidRPr="00461BF9">
        <w:t xml:space="preserve"> a year on average over the forward estimates period. Growth in operating expenses</w:t>
      </w:r>
      <w:r>
        <w:t xml:space="preserve"> across the budget and forward estimates period is largely driven by:</w:t>
      </w:r>
    </w:p>
    <w:p w:rsidR="00F60B5F" w:rsidRDefault="00F60B5F" w:rsidP="00CC4CE3">
      <w:pPr>
        <w:pStyle w:val="BulletText"/>
      </w:pPr>
      <w:r w:rsidRPr="00604AA5">
        <w:t>total employee expenses (including superannuation</w:t>
      </w:r>
      <w:r>
        <w:t xml:space="preserve">, but excluding the impacts of the revised </w:t>
      </w:r>
      <w:r w:rsidRPr="008A19A5">
        <w:t>AASB 119</w:t>
      </w:r>
      <w:r w:rsidRPr="00C06149">
        <w:rPr>
          <w:i/>
        </w:rPr>
        <w:t xml:space="preserve"> Employee Benefits</w:t>
      </w:r>
      <w:r>
        <w:t xml:space="preserve">), which are expected to </w:t>
      </w:r>
      <w:r w:rsidRPr="00461BF9">
        <w:t>increase by 0.1</w:t>
      </w:r>
      <w:r>
        <w:t> per cent in 2013</w:t>
      </w:r>
      <w:r>
        <w:noBreakHyphen/>
        <w:t>14</w:t>
      </w:r>
      <w:r w:rsidRPr="001B43BE">
        <w:t>. Total employee expenses</w:t>
      </w:r>
      <w:r>
        <w:t xml:space="preserve"> are projected to </w:t>
      </w:r>
      <w:r w:rsidRPr="00461BF9">
        <w:t>grow 3.</w:t>
      </w:r>
      <w:r>
        <w:t>1 per cent a year on average over the forward estimates period. Factors influencing employee expense growth are increased service demand, restrained wage increases due to the Government’s wages policy and efficiency gains in non</w:t>
      </w:r>
      <w:r>
        <w:noBreakHyphen/>
        <w:t>service delivery functions;</w:t>
      </w:r>
    </w:p>
    <w:p w:rsidR="00F60B5F" w:rsidRDefault="00F60B5F">
      <w:pPr>
        <w:spacing w:after="0"/>
      </w:pPr>
      <w:r>
        <w:br w:type="page"/>
      </w:r>
    </w:p>
    <w:p w:rsidR="00F60B5F" w:rsidRPr="001B43BE" w:rsidRDefault="00F60B5F" w:rsidP="009F51C3">
      <w:pPr>
        <w:pStyle w:val="BulletText"/>
      </w:pPr>
      <w:r>
        <w:t xml:space="preserve">other operating </w:t>
      </w:r>
      <w:r w:rsidRPr="001B43BE">
        <w:t>expenses, which are anticipated to increase by 3.9</w:t>
      </w:r>
      <w:r>
        <w:t> per cent</w:t>
      </w:r>
      <w:r w:rsidRPr="001B43BE">
        <w:t xml:space="preserve"> in 2013</w:t>
      </w:r>
      <w:r>
        <w:noBreakHyphen/>
      </w:r>
      <w:r w:rsidRPr="001B43BE">
        <w:t>14 and 0.</w:t>
      </w:r>
      <w:r>
        <w:t>2 per cent</w:t>
      </w:r>
      <w:r w:rsidRPr="001B43BE">
        <w:t xml:space="preserve"> a year on average over the forward estimates period. The growth over the forward estimates period reflects reduced payments associated with the contracted change in public transport fare revenue sharing arrangements with Metro Trains and Yarra Trams following the full rollout of the </w:t>
      </w:r>
      <w:r w:rsidRPr="00CB2CAB">
        <w:rPr>
          <w:i/>
        </w:rPr>
        <w:t>myki</w:t>
      </w:r>
      <w:r w:rsidRPr="001B43BE">
        <w:t xml:space="preserve"> ticketing system and the removal of expenditure associated with Home and Community Care service delivery due to the </w:t>
      </w:r>
      <w:r>
        <w:t>transfer of responsibility for over 65s to the Commonwealth</w:t>
      </w:r>
      <w:r w:rsidRPr="001B43BE">
        <w:t>. Efficiencies in departmental and agency non</w:t>
      </w:r>
      <w:r>
        <w:noBreakHyphen/>
      </w:r>
      <w:r w:rsidRPr="001B43BE">
        <w:t>service delivery functions are also driving down estimated expenditure growth;</w:t>
      </w:r>
    </w:p>
    <w:p w:rsidR="00F60B5F" w:rsidRPr="001B43BE" w:rsidRDefault="00F60B5F" w:rsidP="00CC4CE3">
      <w:pPr>
        <w:pStyle w:val="BulletText"/>
        <w:keepLines/>
        <w:ind w:left="357" w:hanging="357"/>
      </w:pPr>
      <w:r w:rsidRPr="001B43BE">
        <w:t>grants and transfer payments, which are expected to decrease by 2.8</w:t>
      </w:r>
      <w:r>
        <w:t> per cent</w:t>
      </w:r>
      <w:r w:rsidRPr="001B43BE">
        <w:t xml:space="preserve"> in 2013</w:t>
      </w:r>
      <w:r>
        <w:noBreakHyphen/>
      </w:r>
      <w:r w:rsidRPr="001B43BE">
        <w:t>14, but grow 3.8</w:t>
      </w:r>
      <w:r>
        <w:t> per cent</w:t>
      </w:r>
      <w:r w:rsidRPr="001B43BE">
        <w:t xml:space="preserve"> a year on average over the forward estimates period. The decrease in 2013</w:t>
      </w:r>
      <w:r>
        <w:noBreakHyphen/>
      </w:r>
      <w:r w:rsidRPr="001B43BE">
        <w:t>14 reflects the impact of financial assistance grants to local government that the Commonwealth brought forward into 2012</w:t>
      </w:r>
      <w:r>
        <w:noBreakHyphen/>
      </w:r>
      <w:r w:rsidRPr="001B43BE">
        <w:t>13 from 2013</w:t>
      </w:r>
      <w:r>
        <w:noBreakHyphen/>
      </w:r>
      <w:r w:rsidRPr="001B43BE">
        <w:t>14. Growth over the forward estimates largely reflects the funding of non</w:t>
      </w:r>
      <w:r>
        <w:noBreakHyphen/>
      </w:r>
      <w:r w:rsidRPr="001B43BE">
        <w:t>government schools and payments to local government;</w:t>
      </w:r>
    </w:p>
    <w:p w:rsidR="00F60B5F" w:rsidRPr="001B43BE" w:rsidRDefault="00F60B5F" w:rsidP="00CC4CE3">
      <w:pPr>
        <w:pStyle w:val="BulletText"/>
      </w:pPr>
      <w:r w:rsidRPr="001B43BE">
        <w:t>depreciation expenses, which are predicted to grow by 6.9</w:t>
      </w:r>
      <w:r>
        <w:t> per cent</w:t>
      </w:r>
      <w:r w:rsidRPr="001B43BE">
        <w:t xml:space="preserve"> in 2013</w:t>
      </w:r>
      <w:r>
        <w:noBreakHyphen/>
      </w:r>
      <w:r w:rsidRPr="001B43BE">
        <w:t>14 and 5.0</w:t>
      </w:r>
      <w:r>
        <w:t> per cent</w:t>
      </w:r>
      <w:r w:rsidRPr="001B43BE">
        <w:t xml:space="preserve"> a year on average across the forward estimates period. The depreciation expense increase reflects the Government’s infrastructure investment profile over the budget and forward estimates period; and</w:t>
      </w:r>
    </w:p>
    <w:p w:rsidR="00F60B5F" w:rsidRPr="00AF634B" w:rsidRDefault="00F60B5F" w:rsidP="00CC4CE3">
      <w:pPr>
        <w:pStyle w:val="BulletText"/>
      </w:pPr>
      <w:r w:rsidRPr="001B43BE">
        <w:t>interest expense, which is anticipated to increase by 22.1</w:t>
      </w:r>
      <w:r>
        <w:t> per cent</w:t>
      </w:r>
      <w:r w:rsidRPr="001B43BE">
        <w:t xml:space="preserve"> in 2013</w:t>
      </w:r>
      <w:r>
        <w:noBreakHyphen/>
      </w:r>
      <w:r w:rsidRPr="001B43BE">
        <w:t>14 due to the first full year of service payments for the Victorian desalination plant. Interest related impacts of the desalination plant are budget neutral for the general government sector as there is matching interest revenue arising from the finance lease receivable from Melbourne Water Corporation. Interest expense is estimated to grow by 2.0</w:t>
      </w:r>
      <w:r>
        <w:t> per cent</w:t>
      </w:r>
      <w:r w:rsidRPr="001B43BE">
        <w:t xml:space="preserve"> a year on average over the forward</w:t>
      </w:r>
      <w:r>
        <w:t xml:space="preserve"> estimates period, in line with the profile of net debt which stabilises in June 2015, declining thereafter.</w:t>
      </w:r>
    </w:p>
    <w:p w:rsidR="00F60B5F" w:rsidRDefault="00F60B5F" w:rsidP="00CC4CE3">
      <w:pPr>
        <w:pStyle w:val="Heading3"/>
      </w:pPr>
      <w:r>
        <w:t>Other economic flows</w:t>
      </w:r>
    </w:p>
    <w:p w:rsidR="00F60B5F" w:rsidRPr="001B43BE" w:rsidRDefault="00F60B5F" w:rsidP="00CC4CE3">
      <w:r>
        <w:t xml:space="preserve">Differences between the net result from transactions and the net result are other economic </w:t>
      </w:r>
      <w:r w:rsidRPr="001B43BE">
        <w:t>flows which typically include gains and losses from the sale of non</w:t>
      </w:r>
      <w:r>
        <w:noBreakHyphen/>
      </w:r>
      <w:r w:rsidRPr="001B43BE">
        <w:t>financial assets, and bad and doubtful debts.</w:t>
      </w:r>
    </w:p>
    <w:p w:rsidR="00F60B5F" w:rsidRPr="009E181C" w:rsidRDefault="00F60B5F" w:rsidP="00CC4CE3">
      <w:r w:rsidRPr="001B43BE">
        <w:t>The revised $164</w:t>
      </w:r>
      <w:r>
        <w:t> million</w:t>
      </w:r>
      <w:r w:rsidRPr="001B43BE">
        <w:t xml:space="preserve"> loss from other economic flows in 2013</w:t>
      </w:r>
      <w:r>
        <w:noBreakHyphen/>
      </w:r>
      <w:r w:rsidRPr="001B43BE">
        <w:t>14 comprises an estimated $285</w:t>
      </w:r>
      <w:r>
        <w:t> million</w:t>
      </w:r>
      <w:r w:rsidRPr="001B43BE">
        <w:t xml:space="preserve"> loss associated with bad and doubtful debts, partly offset by estimated gains on the sale of non</w:t>
      </w:r>
      <w:r>
        <w:noBreakHyphen/>
      </w:r>
      <w:r w:rsidRPr="001B43BE">
        <w:t>financial assets of $112</w:t>
      </w:r>
      <w:r>
        <w:t xml:space="preserve"> million. </w:t>
      </w:r>
    </w:p>
    <w:p w:rsidR="00F60B5F" w:rsidRDefault="00F60B5F" w:rsidP="00CC4CE3">
      <w:pPr>
        <w:spacing w:after="0"/>
        <w:rPr>
          <w:rFonts w:ascii="Calibri" w:hAnsi="Calibri"/>
          <w:b/>
          <w:kern w:val="28"/>
          <w:sz w:val="26"/>
          <w:szCs w:val="22"/>
        </w:rPr>
      </w:pPr>
      <w:r>
        <w:br w:type="page"/>
      </w:r>
    </w:p>
    <w:p w:rsidR="00F60B5F" w:rsidRDefault="00F60B5F" w:rsidP="00CC4CE3">
      <w:pPr>
        <w:pStyle w:val="Heading2"/>
      </w:pPr>
      <w:r>
        <w:t xml:space="preserve">Reconciliation of estimates to previously published estimates </w:t>
      </w:r>
    </w:p>
    <w:p w:rsidR="00F60B5F" w:rsidRDefault="00F60B5F" w:rsidP="00CC4CE3">
      <w:r>
        <w:t>The net result from transactions has been revised down marginally in 2013</w:t>
      </w:r>
      <w:r>
        <w:noBreakHyphen/>
        <w:t>14 and upwards thereafter. The upwards variations over the budget and forward estimates reflect the impact of higher GST, new policy measures and reductions in superannuation expenses more than offsetting the impact of agency cost pressures and lower investment income.</w:t>
      </w:r>
    </w:p>
    <w:p w:rsidR="00F60B5F" w:rsidRDefault="00F60B5F" w:rsidP="00CC4CE3">
      <w:pPr>
        <w:pStyle w:val="Tableheading"/>
      </w:pPr>
      <w:r>
        <w:t>Table 3.3:</w:t>
      </w:r>
      <w:r>
        <w:tab/>
        <w:t xml:space="preserve">Reconciliation of estimates to the </w:t>
      </w:r>
      <w:r w:rsidRPr="00A0146C">
        <w:rPr>
          <w:i/>
        </w:rPr>
        <w:t>2013</w:t>
      </w:r>
      <w:r>
        <w:rPr>
          <w:i/>
        </w:rPr>
        <w:noBreakHyphen/>
      </w:r>
      <w:r w:rsidRPr="00A0146C">
        <w:rPr>
          <w:i/>
        </w:rPr>
        <w:t>14 Budget</w:t>
      </w:r>
    </w:p>
    <w:p w:rsidR="00F60B5F" w:rsidRPr="00BF6568" w:rsidRDefault="00F60B5F" w:rsidP="00BF6568">
      <w:pPr>
        <w:pStyle w:val="million"/>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977"/>
        <w:gridCol w:w="945"/>
        <w:gridCol w:w="946"/>
        <w:gridCol w:w="946"/>
        <w:gridCol w:w="946"/>
      </w:tblGrid>
      <w:tr w:rsidR="00F60B5F" w:rsidRPr="00BF6568" w:rsidTr="00BF6568">
        <w:tc>
          <w:tcPr>
            <w:tcW w:w="3977" w:type="dxa"/>
            <w:tcBorders>
              <w:top w:val="single" w:sz="6" w:space="0" w:color="auto"/>
              <w:left w:val="single" w:sz="6" w:space="0" w:color="auto"/>
              <w:bottom w:val="nil"/>
              <w:right w:val="nil"/>
            </w:tcBorders>
            <w:shd w:val="clear" w:color="000000" w:fill="000000"/>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 </w:t>
            </w:r>
          </w:p>
        </w:tc>
        <w:tc>
          <w:tcPr>
            <w:tcW w:w="945" w:type="dxa"/>
            <w:tcBorders>
              <w:top w:val="single" w:sz="6" w:space="0" w:color="auto"/>
              <w:left w:val="nil"/>
              <w:bottom w:val="nil"/>
              <w:right w:val="nil"/>
            </w:tcBorders>
            <w:shd w:val="clear" w:color="000000" w:fill="000000"/>
          </w:tcPr>
          <w:p w:rsidR="00F60B5F" w:rsidRPr="00BF6568" w:rsidRDefault="00F60B5F" w:rsidP="00BF6568">
            <w:pPr>
              <w:pStyle w:val="Tabletextheading"/>
              <w:rPr>
                <w:rFonts w:eastAsiaTheme="minorEastAsia"/>
                <w:iCs/>
                <w:color w:val="FFFFFF"/>
                <w:lang w:eastAsia="en-AU"/>
              </w:rPr>
            </w:pPr>
            <w:r w:rsidRPr="00BF6568">
              <w:rPr>
                <w:rFonts w:eastAsiaTheme="minorEastAsia"/>
                <w:iCs/>
                <w:color w:val="FFFFFF"/>
                <w:lang w:eastAsia="en-AU"/>
              </w:rPr>
              <w:t>2013</w:t>
            </w:r>
            <w:r>
              <w:rPr>
                <w:rFonts w:eastAsiaTheme="minorEastAsia"/>
                <w:iCs/>
                <w:color w:val="FFFFFF"/>
                <w:lang w:eastAsia="en-AU"/>
              </w:rPr>
              <w:noBreakHyphen/>
            </w:r>
            <w:r w:rsidRPr="00BF6568">
              <w:rPr>
                <w:rFonts w:eastAsiaTheme="minorEastAsia"/>
                <w:iCs/>
                <w:color w:val="FFFFFF"/>
                <w:lang w:eastAsia="en-AU"/>
              </w:rPr>
              <w:t>14</w:t>
            </w:r>
          </w:p>
        </w:tc>
        <w:tc>
          <w:tcPr>
            <w:tcW w:w="946" w:type="dxa"/>
            <w:tcBorders>
              <w:top w:val="single" w:sz="6" w:space="0" w:color="auto"/>
              <w:left w:val="nil"/>
              <w:bottom w:val="nil"/>
              <w:right w:val="nil"/>
            </w:tcBorders>
            <w:shd w:val="clear" w:color="000000" w:fill="000000"/>
          </w:tcPr>
          <w:p w:rsidR="00F60B5F" w:rsidRPr="00BF6568" w:rsidRDefault="00F60B5F" w:rsidP="00BF6568">
            <w:pPr>
              <w:pStyle w:val="Tabletextheading"/>
              <w:rPr>
                <w:rFonts w:eastAsiaTheme="minorEastAsia"/>
                <w:iCs/>
                <w:color w:val="FFFFFF"/>
                <w:lang w:eastAsia="en-AU"/>
              </w:rPr>
            </w:pPr>
            <w:r w:rsidRPr="00BF6568">
              <w:rPr>
                <w:rFonts w:eastAsiaTheme="minorEastAsia"/>
                <w:iCs/>
                <w:color w:val="FFFFFF"/>
                <w:lang w:eastAsia="en-AU"/>
              </w:rPr>
              <w:t>2014</w:t>
            </w:r>
            <w:r>
              <w:rPr>
                <w:rFonts w:eastAsiaTheme="minorEastAsia"/>
                <w:iCs/>
                <w:color w:val="FFFFFF"/>
                <w:lang w:eastAsia="en-AU"/>
              </w:rPr>
              <w:noBreakHyphen/>
            </w:r>
            <w:r w:rsidRPr="00BF6568">
              <w:rPr>
                <w:rFonts w:eastAsiaTheme="minorEastAsia"/>
                <w:iCs/>
                <w:color w:val="FFFFFF"/>
                <w:lang w:eastAsia="en-AU"/>
              </w:rPr>
              <w:t>15</w:t>
            </w:r>
          </w:p>
        </w:tc>
        <w:tc>
          <w:tcPr>
            <w:tcW w:w="946" w:type="dxa"/>
            <w:tcBorders>
              <w:top w:val="single" w:sz="6" w:space="0" w:color="auto"/>
              <w:left w:val="nil"/>
              <w:bottom w:val="nil"/>
              <w:right w:val="nil"/>
            </w:tcBorders>
            <w:shd w:val="clear" w:color="000000" w:fill="000000"/>
          </w:tcPr>
          <w:p w:rsidR="00F60B5F" w:rsidRPr="00BF6568" w:rsidRDefault="00F60B5F" w:rsidP="00BF6568">
            <w:pPr>
              <w:pStyle w:val="Tabletextheading"/>
              <w:rPr>
                <w:rFonts w:eastAsiaTheme="minorEastAsia"/>
                <w:iCs/>
                <w:color w:val="FFFFFF"/>
                <w:lang w:eastAsia="en-AU"/>
              </w:rPr>
            </w:pPr>
            <w:r w:rsidRPr="00BF6568">
              <w:rPr>
                <w:rFonts w:eastAsiaTheme="minorEastAsia"/>
                <w:iCs/>
                <w:color w:val="FFFFFF"/>
                <w:lang w:eastAsia="en-AU"/>
              </w:rPr>
              <w:t>2015</w:t>
            </w:r>
            <w:r>
              <w:rPr>
                <w:rFonts w:eastAsiaTheme="minorEastAsia"/>
                <w:iCs/>
                <w:color w:val="FFFFFF"/>
                <w:lang w:eastAsia="en-AU"/>
              </w:rPr>
              <w:noBreakHyphen/>
            </w:r>
            <w:r w:rsidRPr="00BF6568">
              <w:rPr>
                <w:rFonts w:eastAsiaTheme="minorEastAsia"/>
                <w:iCs/>
                <w:color w:val="FFFFFF"/>
                <w:lang w:eastAsia="en-AU"/>
              </w:rPr>
              <w:t>16</w:t>
            </w:r>
          </w:p>
        </w:tc>
        <w:tc>
          <w:tcPr>
            <w:tcW w:w="946" w:type="dxa"/>
            <w:tcBorders>
              <w:top w:val="single" w:sz="6" w:space="0" w:color="auto"/>
              <w:left w:val="nil"/>
              <w:bottom w:val="nil"/>
              <w:right w:val="single" w:sz="6" w:space="0" w:color="auto"/>
            </w:tcBorders>
            <w:shd w:val="clear" w:color="000000" w:fill="000000"/>
          </w:tcPr>
          <w:p w:rsidR="00F60B5F" w:rsidRPr="00BF6568" w:rsidRDefault="00F60B5F" w:rsidP="00BF6568">
            <w:pPr>
              <w:pStyle w:val="Tabletextheading"/>
              <w:rPr>
                <w:rFonts w:eastAsiaTheme="minorEastAsia"/>
                <w:iCs/>
                <w:color w:val="FFFFFF"/>
                <w:lang w:eastAsia="en-AU"/>
              </w:rPr>
            </w:pPr>
            <w:r w:rsidRPr="00BF6568">
              <w:rPr>
                <w:rFonts w:eastAsiaTheme="minorEastAsia"/>
                <w:iCs/>
                <w:color w:val="FFFFFF"/>
                <w:lang w:eastAsia="en-AU"/>
              </w:rPr>
              <w:t>2016</w:t>
            </w:r>
            <w:r>
              <w:rPr>
                <w:rFonts w:eastAsiaTheme="minorEastAsia"/>
                <w:iCs/>
                <w:color w:val="FFFFFF"/>
                <w:lang w:eastAsia="en-AU"/>
              </w:rPr>
              <w:noBreakHyphen/>
            </w:r>
            <w:r w:rsidRPr="00BF6568">
              <w:rPr>
                <w:rFonts w:eastAsiaTheme="minorEastAsia"/>
                <w:iCs/>
                <w:color w:val="FFFFFF"/>
                <w:lang w:eastAsia="en-AU"/>
              </w:rPr>
              <w:t>17</w:t>
            </w:r>
          </w:p>
        </w:tc>
      </w:tr>
      <w:tr w:rsidR="00F60B5F" w:rsidRPr="00BF6568" w:rsidTr="00BF6568">
        <w:tc>
          <w:tcPr>
            <w:tcW w:w="3977" w:type="dxa"/>
            <w:tcBorders>
              <w:top w:val="nil"/>
              <w:left w:val="single" w:sz="6" w:space="0" w:color="auto"/>
              <w:bottom w:val="single" w:sz="6" w:space="0" w:color="auto"/>
              <w:right w:val="nil"/>
            </w:tcBorders>
            <w:shd w:val="clear" w:color="000000" w:fill="000000"/>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 </w:t>
            </w:r>
          </w:p>
        </w:tc>
        <w:tc>
          <w:tcPr>
            <w:tcW w:w="945" w:type="dxa"/>
            <w:tcBorders>
              <w:top w:val="nil"/>
              <w:left w:val="nil"/>
              <w:bottom w:val="single" w:sz="6" w:space="0" w:color="auto"/>
              <w:right w:val="nil"/>
            </w:tcBorders>
            <w:shd w:val="clear" w:color="000000" w:fill="000000"/>
          </w:tcPr>
          <w:p w:rsidR="00F60B5F" w:rsidRPr="00BF6568" w:rsidRDefault="00F60B5F" w:rsidP="00BF6568">
            <w:pPr>
              <w:pStyle w:val="Tabletextheading"/>
              <w:rPr>
                <w:rFonts w:eastAsiaTheme="minorEastAsia"/>
                <w:iCs/>
                <w:color w:val="FFFFFF"/>
                <w:lang w:eastAsia="en-AU"/>
              </w:rPr>
            </w:pPr>
            <w:r w:rsidRPr="00BF6568">
              <w:rPr>
                <w:rFonts w:eastAsiaTheme="minorEastAsia"/>
                <w:iCs/>
                <w:color w:val="FFFFFF"/>
                <w:lang w:eastAsia="en-AU"/>
              </w:rPr>
              <w:t>Estimate</w:t>
            </w:r>
          </w:p>
        </w:tc>
        <w:tc>
          <w:tcPr>
            <w:tcW w:w="946" w:type="dxa"/>
            <w:tcBorders>
              <w:top w:val="nil"/>
              <w:left w:val="nil"/>
              <w:bottom w:val="single" w:sz="6" w:space="0" w:color="auto"/>
              <w:right w:val="nil"/>
            </w:tcBorders>
            <w:shd w:val="clear" w:color="000000" w:fill="000000"/>
          </w:tcPr>
          <w:p w:rsidR="00F60B5F" w:rsidRPr="00BF6568" w:rsidRDefault="00F60B5F" w:rsidP="00BF6568">
            <w:pPr>
              <w:pStyle w:val="Tabletextheading"/>
              <w:rPr>
                <w:rFonts w:eastAsiaTheme="minorEastAsia"/>
                <w:iCs/>
                <w:color w:val="FFFFFF"/>
                <w:lang w:eastAsia="en-AU"/>
              </w:rPr>
            </w:pPr>
            <w:r w:rsidRPr="00BF6568">
              <w:rPr>
                <w:rFonts w:eastAsiaTheme="minorEastAsia"/>
                <w:iCs/>
                <w:color w:val="FFFFFF"/>
                <w:lang w:eastAsia="en-AU"/>
              </w:rPr>
              <w:t>Estimate</w:t>
            </w:r>
          </w:p>
        </w:tc>
        <w:tc>
          <w:tcPr>
            <w:tcW w:w="946" w:type="dxa"/>
            <w:tcBorders>
              <w:top w:val="nil"/>
              <w:left w:val="nil"/>
              <w:bottom w:val="single" w:sz="6" w:space="0" w:color="auto"/>
              <w:right w:val="nil"/>
            </w:tcBorders>
            <w:shd w:val="clear" w:color="000000" w:fill="000000"/>
          </w:tcPr>
          <w:p w:rsidR="00F60B5F" w:rsidRPr="00BF6568" w:rsidRDefault="00F60B5F" w:rsidP="00BF6568">
            <w:pPr>
              <w:pStyle w:val="Tabletextheading"/>
              <w:rPr>
                <w:rFonts w:eastAsiaTheme="minorEastAsia"/>
                <w:iCs/>
                <w:color w:val="FFFFFF"/>
                <w:lang w:eastAsia="en-AU"/>
              </w:rPr>
            </w:pPr>
            <w:r w:rsidRPr="00BF6568">
              <w:rPr>
                <w:rFonts w:eastAsiaTheme="minorEastAsia"/>
                <w:iCs/>
                <w:color w:val="FFFFFF"/>
                <w:lang w:eastAsia="en-AU"/>
              </w:rPr>
              <w:t>Estimate</w:t>
            </w:r>
          </w:p>
        </w:tc>
        <w:tc>
          <w:tcPr>
            <w:tcW w:w="946" w:type="dxa"/>
            <w:tcBorders>
              <w:top w:val="nil"/>
              <w:left w:val="nil"/>
              <w:bottom w:val="single" w:sz="6" w:space="0" w:color="auto"/>
              <w:right w:val="single" w:sz="6" w:space="0" w:color="auto"/>
            </w:tcBorders>
            <w:shd w:val="clear" w:color="000000" w:fill="000000"/>
          </w:tcPr>
          <w:p w:rsidR="00F60B5F" w:rsidRPr="00BF6568" w:rsidRDefault="00F60B5F" w:rsidP="00BF6568">
            <w:pPr>
              <w:pStyle w:val="Tabletextheading"/>
              <w:rPr>
                <w:rFonts w:eastAsiaTheme="minorEastAsia"/>
                <w:iCs/>
                <w:color w:val="FFFFFF"/>
                <w:lang w:eastAsia="en-AU"/>
              </w:rPr>
            </w:pPr>
            <w:r w:rsidRPr="00BF6568">
              <w:rPr>
                <w:rFonts w:eastAsiaTheme="minorEastAsia"/>
                <w:iCs/>
                <w:color w:val="FFFFFF"/>
                <w:lang w:eastAsia="en-AU"/>
              </w:rPr>
              <w:t>Estimate</w:t>
            </w:r>
          </w:p>
        </w:tc>
      </w:tr>
      <w:tr w:rsidR="00F60B5F" w:rsidRPr="00BF6568" w:rsidTr="00BF6568">
        <w:tc>
          <w:tcPr>
            <w:tcW w:w="3977" w:type="dxa"/>
            <w:tcBorders>
              <w:top w:val="single" w:sz="6" w:space="0" w:color="auto"/>
              <w:left w:val="nil"/>
              <w:bottom w:val="nil"/>
              <w:right w:val="nil"/>
            </w:tcBorders>
          </w:tcPr>
          <w:p w:rsidR="00F60B5F" w:rsidRPr="00BF6568" w:rsidRDefault="00F60B5F" w:rsidP="00BF6568">
            <w:pPr>
              <w:pStyle w:val="Tabletext"/>
              <w:rPr>
                <w:rFonts w:eastAsiaTheme="minorEastAsia"/>
                <w:b/>
                <w:bCs/>
                <w:lang w:eastAsia="en-AU"/>
              </w:rPr>
            </w:pPr>
            <w:r w:rsidRPr="00BF6568">
              <w:rPr>
                <w:rFonts w:eastAsiaTheme="minorEastAsia"/>
                <w:b/>
                <w:bCs/>
                <w:lang w:eastAsia="en-AU"/>
              </w:rPr>
              <w:t xml:space="preserve">Net result from transactions: </w:t>
            </w:r>
            <w:r w:rsidRPr="00BF6568">
              <w:rPr>
                <w:rFonts w:eastAsiaTheme="minorEastAsia"/>
                <w:b/>
                <w:bCs/>
                <w:i/>
                <w:lang w:eastAsia="en-AU"/>
              </w:rPr>
              <w:t>2013</w:t>
            </w:r>
            <w:r>
              <w:rPr>
                <w:rFonts w:eastAsiaTheme="minorEastAsia"/>
                <w:b/>
                <w:bCs/>
                <w:i/>
                <w:lang w:eastAsia="en-AU"/>
              </w:rPr>
              <w:noBreakHyphen/>
            </w:r>
            <w:r w:rsidRPr="00BF6568">
              <w:rPr>
                <w:rFonts w:eastAsiaTheme="minorEastAsia"/>
                <w:b/>
                <w:bCs/>
                <w:i/>
                <w:lang w:eastAsia="en-AU"/>
              </w:rPr>
              <w:t>14 Budget</w:t>
            </w:r>
          </w:p>
        </w:tc>
        <w:tc>
          <w:tcPr>
            <w:tcW w:w="945"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xml:space="preserve"> 224.5</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xml:space="preserve"> 398.7</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1 927.7</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2 547.4</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Plus: variations in revenue from transactions since </w:t>
            </w:r>
            <w:r w:rsidRPr="00BF6568">
              <w:rPr>
                <w:rFonts w:eastAsiaTheme="minorEastAsia"/>
                <w:i/>
                <w:lang w:eastAsia="en-AU"/>
              </w:rPr>
              <w:t>2013</w:t>
            </w:r>
            <w:r>
              <w:rPr>
                <w:rFonts w:eastAsiaTheme="minorEastAsia"/>
                <w:i/>
                <w:lang w:eastAsia="en-AU"/>
              </w:rPr>
              <w:noBreakHyphen/>
            </w:r>
            <w:r w:rsidRPr="00BF6568">
              <w:rPr>
                <w:rFonts w:eastAsiaTheme="minorEastAsia"/>
                <w:i/>
                <w:lang w:eastAsia="en-AU"/>
              </w:rPr>
              <w:t>14 Budget</w:t>
            </w:r>
          </w:p>
        </w:tc>
        <w:tc>
          <w:tcPr>
            <w:tcW w:w="945" w:type="dxa"/>
            <w:tcBorders>
              <w:top w:val="nil"/>
              <w:left w:val="nil"/>
              <w:bottom w:val="nil"/>
              <w:right w:val="nil"/>
            </w:tcBorders>
            <w:shd w:val="solid" w:color="FFFFFF" w:fill="auto"/>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w:t>
            </w:r>
          </w:p>
        </w:tc>
        <w:tc>
          <w:tcPr>
            <w:tcW w:w="946" w:type="dxa"/>
            <w:tcBorders>
              <w:top w:val="nil"/>
              <w:left w:val="nil"/>
              <w:bottom w:val="nil"/>
              <w:right w:val="nil"/>
            </w:tcBorders>
            <w:shd w:val="solid" w:color="FFFFFF" w:fill="auto"/>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w:t>
            </w:r>
          </w:p>
        </w:tc>
        <w:tc>
          <w:tcPr>
            <w:tcW w:w="946" w:type="dxa"/>
            <w:tcBorders>
              <w:top w:val="nil"/>
              <w:left w:val="nil"/>
              <w:bottom w:val="nil"/>
              <w:right w:val="nil"/>
            </w:tcBorders>
            <w:shd w:val="solid" w:color="FFFFFF" w:fill="auto"/>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w:t>
            </w:r>
          </w:p>
        </w:tc>
        <w:tc>
          <w:tcPr>
            <w:tcW w:w="946" w:type="dxa"/>
            <w:tcBorders>
              <w:top w:val="nil"/>
              <w:left w:val="nil"/>
              <w:bottom w:val="nil"/>
              <w:right w:val="nil"/>
            </w:tcBorders>
            <w:shd w:val="solid" w:color="FFFFFF" w:fill="auto"/>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Policy decision variations</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37.3</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203.3</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251.6</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280.4</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b/>
                <w:bCs/>
                <w:lang w:eastAsia="en-AU"/>
              </w:rPr>
            </w:pPr>
            <w:r w:rsidRPr="00BF6568">
              <w:rPr>
                <w:rFonts w:eastAsiaTheme="minorEastAsia"/>
                <w:b/>
                <w:bCs/>
                <w:lang w:eastAsia="en-AU"/>
              </w:rPr>
              <w:t>Economic/demographic variations</w:t>
            </w:r>
          </w:p>
        </w:tc>
        <w:tc>
          <w:tcPr>
            <w:tcW w:w="945"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   Taxation</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61.8</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( 42.8)</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( 74.6)</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( 118.2)</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vertAlign w:val="superscript"/>
                <w:lang w:eastAsia="en-AU"/>
              </w:rPr>
            </w:pPr>
            <w:r w:rsidRPr="00BF6568">
              <w:rPr>
                <w:rFonts w:eastAsiaTheme="minorEastAsia"/>
                <w:lang w:eastAsia="en-AU"/>
              </w:rPr>
              <w:t xml:space="preserve">   Investment income </w:t>
            </w:r>
            <w:r w:rsidRPr="00BF6568">
              <w:rPr>
                <w:rFonts w:eastAsiaTheme="minorEastAsia"/>
                <w:vertAlign w:val="superscript"/>
                <w:lang w:eastAsia="en-AU"/>
              </w:rPr>
              <w:t>(a)</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( 102.4)</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( 71.3)</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( 29.6)</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( 53.9)</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 </w:t>
            </w:r>
          </w:p>
        </w:tc>
        <w:tc>
          <w:tcPr>
            <w:tcW w:w="945"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( 40.6)</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( 114.1)</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( 104.2)</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( 172.1)</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b/>
                <w:bCs/>
                <w:lang w:eastAsia="en-AU"/>
              </w:rPr>
            </w:pPr>
            <w:r w:rsidRPr="00BF6568">
              <w:rPr>
                <w:rFonts w:eastAsiaTheme="minorEastAsia"/>
                <w:b/>
                <w:bCs/>
                <w:lang w:eastAsia="en-AU"/>
              </w:rPr>
              <w:t>Commonwealth grant variations</w:t>
            </w:r>
          </w:p>
        </w:tc>
        <w:tc>
          <w:tcPr>
            <w:tcW w:w="945"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   General purpose grants</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145.5</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122.6</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123.7</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122.6</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   Specific purpose grants</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( 206.8)</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243.4</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( 525.0)</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( 197.4)</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 </w:t>
            </w:r>
          </w:p>
        </w:tc>
        <w:tc>
          <w:tcPr>
            <w:tcW w:w="945"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( 61.4)</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xml:space="preserve"> 365.9</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( 401.3)</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( 74.8)</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vertAlign w:val="superscript"/>
                <w:lang w:eastAsia="en-AU"/>
              </w:rPr>
            </w:pPr>
            <w:r w:rsidRPr="00BF6568">
              <w:rPr>
                <w:rFonts w:eastAsiaTheme="minorEastAsia"/>
                <w:lang w:eastAsia="en-AU"/>
              </w:rPr>
              <w:t xml:space="preserve">Variations in own source revenue </w:t>
            </w:r>
            <w:r w:rsidRPr="00BF6568">
              <w:rPr>
                <w:rFonts w:eastAsiaTheme="minorEastAsia"/>
                <w:vertAlign w:val="superscript"/>
                <w:lang w:eastAsia="en-AU"/>
              </w:rPr>
              <w:t>(b)</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( 58.1)</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( 37.1)</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( 25.3)</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( 15.4)</w:t>
            </w:r>
          </w:p>
        </w:tc>
      </w:tr>
      <w:tr w:rsidR="00F60B5F" w:rsidRPr="00BF6568" w:rsidTr="00BF6568">
        <w:tc>
          <w:tcPr>
            <w:tcW w:w="3977" w:type="dxa"/>
            <w:tcBorders>
              <w:top w:val="nil"/>
              <w:left w:val="nil"/>
              <w:bottom w:val="single" w:sz="6" w:space="0" w:color="auto"/>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Administrative variations</w:t>
            </w:r>
          </w:p>
        </w:tc>
        <w:tc>
          <w:tcPr>
            <w:tcW w:w="945" w:type="dxa"/>
            <w:tcBorders>
              <w:top w:val="nil"/>
              <w:left w:val="nil"/>
              <w:bottom w:val="single" w:sz="6" w:space="0" w:color="auto"/>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( 181.7)</w:t>
            </w:r>
          </w:p>
        </w:tc>
        <w:tc>
          <w:tcPr>
            <w:tcW w:w="946" w:type="dxa"/>
            <w:tcBorders>
              <w:top w:val="nil"/>
              <w:left w:val="nil"/>
              <w:bottom w:val="single" w:sz="6" w:space="0" w:color="auto"/>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( 453.9)</w:t>
            </w:r>
          </w:p>
        </w:tc>
        <w:tc>
          <w:tcPr>
            <w:tcW w:w="946" w:type="dxa"/>
            <w:tcBorders>
              <w:top w:val="nil"/>
              <w:left w:val="nil"/>
              <w:bottom w:val="single" w:sz="6" w:space="0" w:color="auto"/>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( 456.5)</w:t>
            </w:r>
          </w:p>
        </w:tc>
        <w:tc>
          <w:tcPr>
            <w:tcW w:w="946" w:type="dxa"/>
            <w:tcBorders>
              <w:top w:val="nil"/>
              <w:left w:val="nil"/>
              <w:bottom w:val="single" w:sz="6" w:space="0" w:color="auto"/>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( 507.7)</w:t>
            </w:r>
          </w:p>
        </w:tc>
      </w:tr>
      <w:tr w:rsidR="00F60B5F" w:rsidRPr="00BF6568" w:rsidTr="00BF6568">
        <w:tc>
          <w:tcPr>
            <w:tcW w:w="3977" w:type="dxa"/>
            <w:tcBorders>
              <w:top w:val="single" w:sz="6" w:space="0" w:color="auto"/>
              <w:left w:val="nil"/>
              <w:bottom w:val="nil"/>
              <w:right w:val="nil"/>
            </w:tcBorders>
            <w:shd w:val="solid" w:color="FFFFFF" w:fill="auto"/>
          </w:tcPr>
          <w:p w:rsidR="00F60B5F" w:rsidRPr="00BF6568" w:rsidRDefault="00F60B5F" w:rsidP="00BF6568">
            <w:pPr>
              <w:pStyle w:val="Tabletext"/>
              <w:rPr>
                <w:rFonts w:eastAsiaTheme="minorEastAsia"/>
                <w:b/>
                <w:bCs/>
                <w:lang w:eastAsia="en-AU"/>
              </w:rPr>
            </w:pPr>
            <w:r w:rsidRPr="00BF6568">
              <w:rPr>
                <w:rFonts w:eastAsiaTheme="minorEastAsia"/>
                <w:b/>
                <w:bCs/>
                <w:lang w:eastAsia="en-AU"/>
              </w:rPr>
              <w:t xml:space="preserve">Total variation in revenue from transactions since </w:t>
            </w:r>
            <w:r w:rsidRPr="00BF6568">
              <w:rPr>
                <w:rFonts w:eastAsiaTheme="minorEastAsia"/>
                <w:b/>
                <w:bCs/>
                <w:i/>
                <w:lang w:eastAsia="en-AU"/>
              </w:rPr>
              <w:t>2013</w:t>
            </w:r>
            <w:r>
              <w:rPr>
                <w:rFonts w:eastAsiaTheme="minorEastAsia"/>
                <w:b/>
                <w:bCs/>
                <w:i/>
                <w:lang w:eastAsia="en-AU"/>
              </w:rPr>
              <w:noBreakHyphen/>
            </w:r>
            <w:r w:rsidRPr="00BF6568">
              <w:rPr>
                <w:rFonts w:eastAsiaTheme="minorEastAsia"/>
                <w:b/>
                <w:bCs/>
                <w:i/>
                <w:lang w:eastAsia="en-AU"/>
              </w:rPr>
              <w:t>14 Budget</w:t>
            </w:r>
          </w:p>
        </w:tc>
        <w:tc>
          <w:tcPr>
            <w:tcW w:w="945"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( 304.5)</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( 36.0)</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( 735.7)</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( 489.5)</w:t>
            </w:r>
          </w:p>
        </w:tc>
      </w:tr>
      <w:tr w:rsidR="00F60B5F" w:rsidRPr="00BF6568" w:rsidTr="00BF6568">
        <w:tc>
          <w:tcPr>
            <w:tcW w:w="3977" w:type="dxa"/>
            <w:tcBorders>
              <w:top w:val="single" w:sz="6" w:space="0" w:color="auto"/>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Less: variations in expenses from transactions since </w:t>
            </w:r>
            <w:r w:rsidRPr="00BF6568">
              <w:rPr>
                <w:rFonts w:eastAsiaTheme="minorEastAsia"/>
                <w:i/>
                <w:lang w:eastAsia="en-AU"/>
              </w:rPr>
              <w:t>2013</w:t>
            </w:r>
            <w:r>
              <w:rPr>
                <w:rFonts w:eastAsiaTheme="minorEastAsia"/>
                <w:i/>
                <w:lang w:eastAsia="en-AU"/>
              </w:rPr>
              <w:noBreakHyphen/>
            </w:r>
            <w:r w:rsidRPr="00BF6568">
              <w:rPr>
                <w:rFonts w:eastAsiaTheme="minorEastAsia"/>
                <w:i/>
                <w:lang w:eastAsia="en-AU"/>
              </w:rPr>
              <w:t>14 Budget</w:t>
            </w:r>
          </w:p>
        </w:tc>
        <w:tc>
          <w:tcPr>
            <w:tcW w:w="945" w:type="dxa"/>
            <w:tcBorders>
              <w:top w:val="single" w:sz="6" w:space="0" w:color="auto"/>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cs="Calibri"/>
                <w:color w:val="000000"/>
                <w:vertAlign w:val="superscript"/>
                <w:lang w:eastAsia="en-AU"/>
              </w:rPr>
            </w:pPr>
            <w:r w:rsidRPr="00BF6568">
              <w:rPr>
                <w:rFonts w:eastAsiaTheme="minorEastAsia"/>
                <w:lang w:eastAsia="en-AU"/>
              </w:rPr>
              <w:t xml:space="preserve">Policy decision variations </w:t>
            </w:r>
            <w:r w:rsidRPr="00BF6568">
              <w:rPr>
                <w:rFonts w:eastAsiaTheme="minorEastAsia" w:cs="Calibri"/>
                <w:color w:val="000000"/>
                <w:vertAlign w:val="superscript"/>
                <w:lang w:eastAsia="en-AU"/>
              </w:rPr>
              <w:t>(c)</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54.6</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69.1</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70.8</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66.4</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Commonwealth grant variations</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( 176.9)</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xml:space="preserve"> 110.5</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( 363.6)</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( 308.8)</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vertAlign w:val="superscript"/>
                <w:lang w:eastAsia="en-AU"/>
              </w:rPr>
            </w:pPr>
            <w:r w:rsidRPr="00BF6568">
              <w:rPr>
                <w:rFonts w:eastAsiaTheme="minorEastAsia"/>
                <w:lang w:eastAsia="en-AU"/>
              </w:rPr>
              <w:t>Variations in own</w:t>
            </w:r>
            <w:r>
              <w:rPr>
                <w:rFonts w:eastAsiaTheme="minorEastAsia"/>
                <w:lang w:eastAsia="en-AU"/>
              </w:rPr>
              <w:noBreakHyphen/>
            </w:r>
            <w:r w:rsidRPr="00BF6568">
              <w:rPr>
                <w:rFonts w:eastAsiaTheme="minorEastAsia"/>
                <w:lang w:eastAsia="en-AU"/>
              </w:rPr>
              <w:t xml:space="preserve">source revenue </w:t>
            </w:r>
            <w:r w:rsidRPr="00BF6568">
              <w:rPr>
                <w:rFonts w:eastAsiaTheme="minorEastAsia"/>
                <w:vertAlign w:val="superscript"/>
                <w:lang w:eastAsia="en-AU"/>
              </w:rPr>
              <w:t>(b)</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( 11.7)</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( 13.0)</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( 8.9)</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( 8.9)</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b/>
                <w:bCs/>
                <w:lang w:eastAsia="en-AU"/>
              </w:rPr>
            </w:pPr>
            <w:r w:rsidRPr="00BF6568">
              <w:rPr>
                <w:rFonts w:eastAsiaTheme="minorEastAsia"/>
                <w:b/>
                <w:bCs/>
                <w:lang w:eastAsia="en-AU"/>
              </w:rPr>
              <w:t>Administrative variations</w:t>
            </w:r>
          </w:p>
        </w:tc>
        <w:tc>
          <w:tcPr>
            <w:tcW w:w="945"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c>
          <w:tcPr>
            <w:tcW w:w="946" w:type="dxa"/>
            <w:tcBorders>
              <w:top w:val="nil"/>
              <w:left w:val="nil"/>
              <w:bottom w:val="nil"/>
              <w:right w:val="nil"/>
            </w:tcBorders>
          </w:tcPr>
          <w:p w:rsidR="00F60B5F" w:rsidRPr="00BF6568" w:rsidRDefault="00F60B5F" w:rsidP="00BF6568">
            <w:pPr>
              <w:pStyle w:val="TableofFigures"/>
              <w:rPr>
                <w:rFonts w:eastAsiaTheme="minorEastAsia"/>
                <w:b/>
                <w:lang w:eastAsia="en-AU"/>
              </w:rPr>
            </w:pPr>
            <w:r w:rsidRPr="00BF6568">
              <w:rPr>
                <w:rFonts w:eastAsiaTheme="minorEastAsia"/>
                <w:b/>
                <w:lang w:eastAsia="en-AU"/>
              </w:rPr>
              <w:t xml:space="preserve">   </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lang w:eastAsia="en-AU"/>
              </w:rPr>
            </w:pPr>
            <w:r w:rsidRPr="00BF6568">
              <w:rPr>
                <w:rFonts w:eastAsiaTheme="minorEastAsia"/>
                <w:lang w:eastAsia="en-AU"/>
              </w:rPr>
              <w:t xml:space="preserve">   Superannuation variations</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( 119.6)</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( 169.3)</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( 165.1)</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( 166.3)</w:t>
            </w:r>
          </w:p>
        </w:tc>
      </w:tr>
      <w:tr w:rsidR="00F60B5F" w:rsidRPr="00BF6568" w:rsidTr="00BF6568">
        <w:tc>
          <w:tcPr>
            <w:tcW w:w="3977" w:type="dxa"/>
            <w:tcBorders>
              <w:top w:val="nil"/>
              <w:left w:val="nil"/>
              <w:bottom w:val="nil"/>
              <w:right w:val="nil"/>
            </w:tcBorders>
            <w:shd w:val="solid" w:color="FFFFFF" w:fill="auto"/>
          </w:tcPr>
          <w:p w:rsidR="00F60B5F" w:rsidRPr="00BF6568" w:rsidRDefault="00F60B5F" w:rsidP="00BF6568">
            <w:pPr>
              <w:pStyle w:val="Tabletext"/>
              <w:rPr>
                <w:rFonts w:eastAsiaTheme="minorEastAsia" w:cs="Calibri"/>
                <w:color w:val="000000"/>
                <w:vertAlign w:val="superscript"/>
                <w:lang w:eastAsia="en-AU"/>
              </w:rPr>
            </w:pPr>
            <w:r w:rsidRPr="00BF6568">
              <w:rPr>
                <w:rFonts w:eastAsiaTheme="minorEastAsia"/>
                <w:lang w:eastAsia="en-AU"/>
              </w:rPr>
              <w:t xml:space="preserve">   Other administrative variations </w:t>
            </w:r>
            <w:r w:rsidRPr="00BF6568">
              <w:rPr>
                <w:rFonts w:eastAsiaTheme="minorEastAsia" w:cs="Calibri"/>
                <w:color w:val="000000"/>
                <w:vertAlign w:val="superscript"/>
                <w:lang w:eastAsia="en-AU"/>
              </w:rPr>
              <w:t>(c)</w:t>
            </w:r>
          </w:p>
        </w:tc>
        <w:tc>
          <w:tcPr>
            <w:tcW w:w="945"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( 48.2)</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( 545.5)</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( 392.7)</w:t>
            </w:r>
          </w:p>
        </w:tc>
        <w:tc>
          <w:tcPr>
            <w:tcW w:w="946" w:type="dxa"/>
            <w:tcBorders>
              <w:top w:val="nil"/>
              <w:left w:val="nil"/>
              <w:bottom w:val="nil"/>
              <w:right w:val="nil"/>
            </w:tcBorders>
          </w:tcPr>
          <w:p w:rsidR="00F60B5F" w:rsidRPr="00BF6568" w:rsidRDefault="00F60B5F" w:rsidP="00BF6568">
            <w:pPr>
              <w:pStyle w:val="TableofFigures"/>
              <w:rPr>
                <w:rFonts w:eastAsiaTheme="minorEastAsia"/>
                <w:lang w:eastAsia="en-AU"/>
              </w:rPr>
            </w:pPr>
            <w:r w:rsidRPr="00BF6568">
              <w:rPr>
                <w:rFonts w:eastAsiaTheme="minorEastAsia"/>
                <w:lang w:eastAsia="en-AU"/>
              </w:rPr>
              <w:t>( 243.5)</w:t>
            </w:r>
          </w:p>
        </w:tc>
      </w:tr>
      <w:tr w:rsidR="00F60B5F" w:rsidRPr="00BF6568" w:rsidTr="00BF6568">
        <w:tc>
          <w:tcPr>
            <w:tcW w:w="3977" w:type="dxa"/>
            <w:tcBorders>
              <w:top w:val="single" w:sz="6" w:space="0" w:color="auto"/>
              <w:left w:val="nil"/>
              <w:bottom w:val="nil"/>
              <w:right w:val="nil"/>
            </w:tcBorders>
          </w:tcPr>
          <w:p w:rsidR="00F60B5F" w:rsidRPr="00BF6568" w:rsidRDefault="00F60B5F" w:rsidP="00BF6568">
            <w:pPr>
              <w:pStyle w:val="Tabletext"/>
              <w:rPr>
                <w:rFonts w:eastAsiaTheme="minorEastAsia"/>
                <w:b/>
                <w:bCs/>
                <w:lang w:eastAsia="en-AU"/>
              </w:rPr>
            </w:pPr>
            <w:r w:rsidRPr="00BF6568">
              <w:rPr>
                <w:rFonts w:eastAsiaTheme="minorEastAsia"/>
                <w:b/>
                <w:bCs/>
                <w:lang w:eastAsia="en-AU"/>
              </w:rPr>
              <w:t>Total administrative variations</w:t>
            </w:r>
          </w:p>
        </w:tc>
        <w:tc>
          <w:tcPr>
            <w:tcW w:w="945"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( 167.8)</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( 714.8)</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( 557.8)</w:t>
            </w:r>
          </w:p>
        </w:tc>
        <w:tc>
          <w:tcPr>
            <w:tcW w:w="946" w:type="dxa"/>
            <w:tcBorders>
              <w:top w:val="single" w:sz="6" w:space="0" w:color="auto"/>
              <w:left w:val="nil"/>
              <w:bottom w:val="nil"/>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( 409.8)</w:t>
            </w:r>
          </w:p>
        </w:tc>
      </w:tr>
      <w:tr w:rsidR="00F60B5F" w:rsidRPr="00BF6568" w:rsidTr="00BF6568">
        <w:tc>
          <w:tcPr>
            <w:tcW w:w="3977" w:type="dxa"/>
            <w:tcBorders>
              <w:top w:val="nil"/>
              <w:left w:val="nil"/>
              <w:bottom w:val="single" w:sz="6" w:space="0" w:color="auto"/>
              <w:right w:val="nil"/>
            </w:tcBorders>
            <w:shd w:val="solid" w:color="FFFFFF" w:fill="auto"/>
          </w:tcPr>
          <w:p w:rsidR="00F60B5F" w:rsidRPr="00BF6568" w:rsidRDefault="00F60B5F" w:rsidP="00BF6568">
            <w:pPr>
              <w:pStyle w:val="Tabletext"/>
              <w:rPr>
                <w:rFonts w:eastAsiaTheme="minorEastAsia"/>
                <w:b/>
                <w:bCs/>
                <w:lang w:eastAsia="en-AU"/>
              </w:rPr>
            </w:pPr>
            <w:r w:rsidRPr="00BF6568">
              <w:rPr>
                <w:rFonts w:eastAsiaTheme="minorEastAsia"/>
                <w:b/>
                <w:bCs/>
                <w:lang w:eastAsia="en-AU"/>
              </w:rPr>
              <w:t xml:space="preserve">Total variation in expenses from transactions since </w:t>
            </w:r>
            <w:r w:rsidRPr="00BF6568">
              <w:rPr>
                <w:rFonts w:eastAsiaTheme="minorEastAsia"/>
                <w:b/>
                <w:bCs/>
                <w:i/>
                <w:lang w:eastAsia="en-AU"/>
              </w:rPr>
              <w:t>2013</w:t>
            </w:r>
            <w:r>
              <w:rPr>
                <w:rFonts w:eastAsiaTheme="minorEastAsia"/>
                <w:b/>
                <w:bCs/>
                <w:i/>
                <w:lang w:eastAsia="en-AU"/>
              </w:rPr>
              <w:noBreakHyphen/>
            </w:r>
            <w:r w:rsidRPr="00BF6568">
              <w:rPr>
                <w:rFonts w:eastAsiaTheme="minorEastAsia"/>
                <w:b/>
                <w:bCs/>
                <w:i/>
                <w:lang w:eastAsia="en-AU"/>
              </w:rPr>
              <w:t>14 Budget</w:t>
            </w:r>
          </w:p>
        </w:tc>
        <w:tc>
          <w:tcPr>
            <w:tcW w:w="945" w:type="dxa"/>
            <w:tcBorders>
              <w:top w:val="nil"/>
              <w:left w:val="nil"/>
              <w:bottom w:val="single" w:sz="6" w:space="0" w:color="auto"/>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( 301.8)</w:t>
            </w:r>
          </w:p>
        </w:tc>
        <w:tc>
          <w:tcPr>
            <w:tcW w:w="946" w:type="dxa"/>
            <w:tcBorders>
              <w:top w:val="nil"/>
              <w:left w:val="nil"/>
              <w:bottom w:val="single" w:sz="6" w:space="0" w:color="auto"/>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( 548.2)</w:t>
            </w:r>
          </w:p>
        </w:tc>
        <w:tc>
          <w:tcPr>
            <w:tcW w:w="946" w:type="dxa"/>
            <w:tcBorders>
              <w:top w:val="nil"/>
              <w:left w:val="nil"/>
              <w:bottom w:val="single" w:sz="6" w:space="0" w:color="auto"/>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( 859.5)</w:t>
            </w:r>
          </w:p>
        </w:tc>
        <w:tc>
          <w:tcPr>
            <w:tcW w:w="946" w:type="dxa"/>
            <w:tcBorders>
              <w:top w:val="nil"/>
              <w:left w:val="nil"/>
              <w:bottom w:val="single" w:sz="6" w:space="0" w:color="auto"/>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( 661.0)</w:t>
            </w:r>
          </w:p>
        </w:tc>
      </w:tr>
      <w:tr w:rsidR="00F60B5F" w:rsidRPr="00BF6568" w:rsidTr="00BF6568">
        <w:tc>
          <w:tcPr>
            <w:tcW w:w="3977" w:type="dxa"/>
            <w:tcBorders>
              <w:top w:val="single" w:sz="6" w:space="0" w:color="auto"/>
              <w:left w:val="nil"/>
              <w:bottom w:val="single" w:sz="12" w:space="0" w:color="000000"/>
              <w:right w:val="nil"/>
            </w:tcBorders>
            <w:shd w:val="solid" w:color="FFFFFF" w:fill="auto"/>
          </w:tcPr>
          <w:p w:rsidR="00F60B5F" w:rsidRPr="00BF6568" w:rsidRDefault="00F60B5F" w:rsidP="00BF6568">
            <w:pPr>
              <w:pStyle w:val="Tabletext"/>
              <w:rPr>
                <w:rFonts w:eastAsiaTheme="minorEastAsia"/>
                <w:b/>
                <w:bCs/>
                <w:lang w:eastAsia="en-AU"/>
              </w:rPr>
            </w:pPr>
            <w:r w:rsidRPr="00BF6568">
              <w:rPr>
                <w:rFonts w:eastAsiaTheme="minorEastAsia"/>
                <w:b/>
                <w:bCs/>
                <w:lang w:eastAsia="en-AU"/>
              </w:rPr>
              <w:t xml:space="preserve">Revised net result from transactions </w:t>
            </w:r>
          </w:p>
        </w:tc>
        <w:tc>
          <w:tcPr>
            <w:tcW w:w="945" w:type="dxa"/>
            <w:tcBorders>
              <w:top w:val="single" w:sz="6" w:space="0" w:color="auto"/>
              <w:left w:val="nil"/>
              <w:bottom w:val="single" w:sz="12" w:space="0" w:color="000000"/>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xml:space="preserve"> 221.8</w:t>
            </w:r>
          </w:p>
        </w:tc>
        <w:tc>
          <w:tcPr>
            <w:tcW w:w="946" w:type="dxa"/>
            <w:tcBorders>
              <w:top w:val="single" w:sz="6" w:space="0" w:color="auto"/>
              <w:left w:val="nil"/>
              <w:bottom w:val="single" w:sz="12" w:space="0" w:color="000000"/>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 xml:space="preserve"> 911.0</w:t>
            </w:r>
          </w:p>
        </w:tc>
        <w:tc>
          <w:tcPr>
            <w:tcW w:w="946" w:type="dxa"/>
            <w:tcBorders>
              <w:top w:val="single" w:sz="6" w:space="0" w:color="auto"/>
              <w:left w:val="nil"/>
              <w:bottom w:val="single" w:sz="12" w:space="0" w:color="000000"/>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2 051.5</w:t>
            </w:r>
          </w:p>
        </w:tc>
        <w:tc>
          <w:tcPr>
            <w:tcW w:w="946" w:type="dxa"/>
            <w:tcBorders>
              <w:top w:val="single" w:sz="6" w:space="0" w:color="auto"/>
              <w:left w:val="nil"/>
              <w:bottom w:val="single" w:sz="12" w:space="0" w:color="000000"/>
              <w:right w:val="nil"/>
            </w:tcBorders>
          </w:tcPr>
          <w:p w:rsidR="00F60B5F" w:rsidRPr="00BF6568" w:rsidRDefault="00F60B5F" w:rsidP="00BF6568">
            <w:pPr>
              <w:pStyle w:val="TableofFigures"/>
              <w:rPr>
                <w:rFonts w:eastAsiaTheme="minorEastAsia"/>
                <w:b/>
                <w:bCs/>
                <w:lang w:eastAsia="en-AU"/>
              </w:rPr>
            </w:pPr>
            <w:r w:rsidRPr="00BF6568">
              <w:rPr>
                <w:rFonts w:eastAsiaTheme="minorEastAsia"/>
                <w:b/>
                <w:bCs/>
                <w:lang w:eastAsia="en-AU"/>
              </w:rPr>
              <w:t>2 718.9</w:t>
            </w:r>
          </w:p>
        </w:tc>
      </w:tr>
    </w:tbl>
    <w:p w:rsidR="00F60B5F" w:rsidRPr="00D7423E" w:rsidRDefault="00F60B5F" w:rsidP="00CC4CE3">
      <w:pPr>
        <w:pStyle w:val="Source"/>
      </w:pPr>
      <w:r w:rsidRPr="00D7423E">
        <w:t>Source: Department of Treasury and Finance</w:t>
      </w:r>
    </w:p>
    <w:p w:rsidR="00F60B5F" w:rsidRPr="00D7423E" w:rsidRDefault="00F60B5F" w:rsidP="00CC4CE3">
      <w:pPr>
        <w:pStyle w:val="Notes"/>
      </w:pPr>
      <w:r w:rsidRPr="00D7423E">
        <w:t>Notes:</w:t>
      </w:r>
    </w:p>
    <w:p w:rsidR="00F60B5F" w:rsidRPr="00D7423E" w:rsidRDefault="00F60B5F" w:rsidP="00CC4CE3">
      <w:pPr>
        <w:pStyle w:val="Notes"/>
      </w:pPr>
      <w:r w:rsidRPr="00D7423E">
        <w:t>(a)</w:t>
      </w:r>
      <w:r w:rsidRPr="00D7423E">
        <w:tab/>
      </w:r>
      <w:r>
        <w:t>Investment income includes dividends, income tax and rate equivalent revenue and interest revenue</w:t>
      </w:r>
      <w:r w:rsidRPr="00D7423E">
        <w:t>.</w:t>
      </w:r>
    </w:p>
    <w:p w:rsidR="00F60B5F" w:rsidRDefault="00F60B5F" w:rsidP="00CC4CE3">
      <w:pPr>
        <w:pStyle w:val="Notes"/>
      </w:pPr>
      <w:r w:rsidRPr="00D7423E">
        <w:t>(b)</w:t>
      </w:r>
      <w:r w:rsidRPr="00D7423E">
        <w:tab/>
      </w:r>
      <w:r>
        <w:t>Own</w:t>
      </w:r>
      <w:r>
        <w:noBreakHyphen/>
        <w:t>source revenue variations represent third party variations by departments</w:t>
      </w:r>
      <w:r w:rsidRPr="00D7423E">
        <w:t>.</w:t>
      </w:r>
    </w:p>
    <w:p w:rsidR="00F60B5F" w:rsidRPr="00D7423E" w:rsidRDefault="00F60B5F" w:rsidP="00CC4CE3">
      <w:pPr>
        <w:pStyle w:val="Notes"/>
      </w:pPr>
      <w:r>
        <w:t>(c)</w:t>
      </w:r>
      <w:r>
        <w:tab/>
      </w:r>
      <w:r w:rsidRPr="00CE4FEE">
        <w:t>In this table policy decision variations are shown at gross levels rather than net of contingency provisions. Release of new contingency provisions are shown in Other administrative variations</w:t>
      </w:r>
      <w:r>
        <w:t>.</w:t>
      </w:r>
    </w:p>
    <w:p w:rsidR="00F60B5F" w:rsidRDefault="00F60B5F" w:rsidP="00167733">
      <w:pPr>
        <w:pStyle w:val="Source"/>
      </w:pPr>
    </w:p>
    <w:p w:rsidR="00F60B5F" w:rsidRDefault="00F60B5F" w:rsidP="00CC4CE3">
      <w:pPr>
        <w:pStyle w:val="Heading3"/>
      </w:pPr>
      <w:r>
        <w:t>Variations to revenue from transactions</w:t>
      </w:r>
    </w:p>
    <w:p w:rsidR="00F60B5F" w:rsidRDefault="00F60B5F" w:rsidP="00CC4CE3">
      <w:pPr>
        <w:pStyle w:val="Heading4"/>
      </w:pPr>
      <w:r>
        <w:t>Policy decision variations</w:t>
      </w:r>
    </w:p>
    <w:p w:rsidR="00F60B5F" w:rsidRPr="001B43BE" w:rsidRDefault="00F60B5F" w:rsidP="00CC4CE3">
      <w:r w:rsidRPr="00E5262A">
        <w:t>Policy decisions are projected to inc</w:t>
      </w:r>
      <w:r w:rsidRPr="001B43BE">
        <w:t>rease revenue by $37</w:t>
      </w:r>
      <w:r>
        <w:t> million</w:t>
      </w:r>
      <w:r w:rsidRPr="001B43BE">
        <w:t xml:space="preserve"> in 2013</w:t>
      </w:r>
      <w:r>
        <w:noBreakHyphen/>
      </w:r>
      <w:r w:rsidRPr="001B43BE">
        <w:t>14 and $2</w:t>
      </w:r>
      <w:r>
        <w:t>45 million</w:t>
      </w:r>
      <w:r w:rsidRPr="001B43BE">
        <w:t xml:space="preserve"> a year on average ov</w:t>
      </w:r>
      <w:r>
        <w:t>er the forward estimates period</w:t>
      </w:r>
      <w:r w:rsidRPr="001B43BE">
        <w:t>.</w:t>
      </w:r>
    </w:p>
    <w:p w:rsidR="00F60B5F" w:rsidRPr="001B43BE" w:rsidRDefault="00F60B5F" w:rsidP="00CC4CE3">
      <w:r w:rsidRPr="001B43BE">
        <w:t xml:space="preserve">Details of specific policy initiatives since the </w:t>
      </w:r>
      <w:r w:rsidRPr="001B43BE">
        <w:rPr>
          <w:i/>
        </w:rPr>
        <w:t>2013</w:t>
      </w:r>
      <w:r>
        <w:rPr>
          <w:i/>
        </w:rPr>
        <w:noBreakHyphen/>
      </w:r>
      <w:r w:rsidRPr="001B43BE">
        <w:rPr>
          <w:i/>
        </w:rPr>
        <w:t>14 Budget</w:t>
      </w:r>
      <w:r w:rsidRPr="001B43BE">
        <w:t xml:space="preserve"> are contained in </w:t>
      </w:r>
      <w:r w:rsidRPr="00167733">
        <w:t>Appendix A</w:t>
      </w:r>
      <w:r w:rsidRPr="001B43BE">
        <w:rPr>
          <w:i/>
        </w:rPr>
        <w:t xml:space="preserve"> Specific policy initiatives</w:t>
      </w:r>
      <w:r w:rsidRPr="001B43BE">
        <w:t xml:space="preserve"> </w:t>
      </w:r>
      <w:r w:rsidRPr="001B43BE">
        <w:rPr>
          <w:i/>
        </w:rPr>
        <w:t>affecting budget position</w:t>
      </w:r>
      <w:r w:rsidRPr="001B43BE">
        <w:t>.</w:t>
      </w:r>
    </w:p>
    <w:p w:rsidR="00F60B5F" w:rsidRPr="001B43BE" w:rsidRDefault="00F60B5F" w:rsidP="00CC4CE3">
      <w:pPr>
        <w:pStyle w:val="Heading4"/>
      </w:pPr>
      <w:r w:rsidRPr="001B43BE">
        <w:t>Economic/demographic variations</w:t>
      </w:r>
    </w:p>
    <w:p w:rsidR="00F60B5F" w:rsidRPr="001B43BE" w:rsidRDefault="00F60B5F" w:rsidP="00CC4CE3">
      <w:r w:rsidRPr="001B43BE">
        <w:t>Taxation revenue has been revised up by $62</w:t>
      </w:r>
      <w:r>
        <w:t> million</w:t>
      </w:r>
      <w:r w:rsidRPr="001B43BE">
        <w:t xml:space="preserve"> in 2013</w:t>
      </w:r>
      <w:r>
        <w:noBreakHyphen/>
      </w:r>
      <w:r w:rsidRPr="001B43BE">
        <w:t>14 and down by $79</w:t>
      </w:r>
      <w:r>
        <w:t> million</w:t>
      </w:r>
      <w:r w:rsidRPr="001B43BE">
        <w:t xml:space="preserve"> a year on average over the forward estimates period due to economic/demographic factors, mainly reflecting:</w:t>
      </w:r>
    </w:p>
    <w:p w:rsidR="00F60B5F" w:rsidRPr="001B43BE" w:rsidRDefault="00F60B5F" w:rsidP="00E5262A">
      <w:pPr>
        <w:pStyle w:val="BulletText"/>
      </w:pPr>
      <w:r w:rsidRPr="001B43BE">
        <w:t>a decrease in gambling taxes of $196</w:t>
      </w:r>
      <w:r>
        <w:t> million</w:t>
      </w:r>
      <w:r w:rsidRPr="001B43BE">
        <w:t xml:space="preserve"> in 2013</w:t>
      </w:r>
      <w:r>
        <w:noBreakHyphen/>
      </w:r>
      <w:r w:rsidRPr="001B43BE">
        <w:t>14, and $257</w:t>
      </w:r>
      <w:r>
        <w:t> million</w:t>
      </w:r>
      <w:r w:rsidRPr="001B43BE">
        <w:t xml:space="preserve"> a year on average over the forward estimates period, primarily reflecting lower than expected electronic gaming machine receipts;</w:t>
      </w:r>
    </w:p>
    <w:p w:rsidR="00F60B5F" w:rsidRPr="001B43BE" w:rsidRDefault="00F60B5F" w:rsidP="00E5262A">
      <w:pPr>
        <w:pStyle w:val="BulletText"/>
      </w:pPr>
      <w:r w:rsidRPr="001B43BE">
        <w:t>a decrease in payroll tax of $201</w:t>
      </w:r>
      <w:r>
        <w:t> million</w:t>
      </w:r>
      <w:r w:rsidRPr="001B43BE">
        <w:t xml:space="preserve"> in 2013</w:t>
      </w:r>
      <w:r>
        <w:noBreakHyphen/>
      </w:r>
      <w:r w:rsidRPr="001B43BE">
        <w:t>14, and $241</w:t>
      </w:r>
      <w:r>
        <w:t> million</w:t>
      </w:r>
      <w:r w:rsidRPr="001B43BE">
        <w:t xml:space="preserve"> a year on average over the forward estimates period, reflecting weaker than expected employment conditions; and</w:t>
      </w:r>
    </w:p>
    <w:p w:rsidR="00F60B5F" w:rsidRPr="001B43BE" w:rsidRDefault="00F60B5F" w:rsidP="00E5262A">
      <w:pPr>
        <w:pStyle w:val="BulletText"/>
      </w:pPr>
      <w:r w:rsidRPr="001B43BE">
        <w:t>a decrease in motor vehicle taxes of $23</w:t>
      </w:r>
      <w:r>
        <w:t> million</w:t>
      </w:r>
      <w:r w:rsidRPr="001B43BE">
        <w:t xml:space="preserve"> in 2013</w:t>
      </w:r>
      <w:r>
        <w:noBreakHyphen/>
      </w:r>
      <w:r w:rsidRPr="001B43BE">
        <w:t>14, and $25</w:t>
      </w:r>
      <w:r>
        <w:t> million</w:t>
      </w:r>
      <w:r w:rsidRPr="001B43BE">
        <w:t xml:space="preserve"> a year on average over the forward estimates period, largely reflecting the impact of a weaker economic outlook on motor vehicle registration fees.</w:t>
      </w:r>
    </w:p>
    <w:p w:rsidR="00F60B5F" w:rsidRPr="001B43BE" w:rsidRDefault="00F60B5F" w:rsidP="00A97E8E">
      <w:pPr>
        <w:pStyle w:val="BulletText"/>
        <w:numPr>
          <w:ilvl w:val="0"/>
          <w:numId w:val="0"/>
        </w:numPr>
      </w:pPr>
      <w:r w:rsidRPr="001B43BE">
        <w:t>These downward revisions have been offset by upward revisions to land transfer duty by $494</w:t>
      </w:r>
      <w:r>
        <w:t> million</w:t>
      </w:r>
      <w:r w:rsidRPr="001B43BE">
        <w:t xml:space="preserve"> in 2013</w:t>
      </w:r>
      <w:r>
        <w:noBreakHyphen/>
      </w:r>
      <w:r w:rsidRPr="001B43BE">
        <w:t>14 and $461</w:t>
      </w:r>
      <w:r>
        <w:t> million</w:t>
      </w:r>
      <w:r w:rsidRPr="001B43BE">
        <w:t xml:space="preserve"> a year on average over the forward estimates period, reflecting a stronger than expected recovery in the property market.</w:t>
      </w:r>
    </w:p>
    <w:p w:rsidR="00F60B5F" w:rsidRDefault="00F60B5F" w:rsidP="00CC4CE3">
      <w:pPr>
        <w:pStyle w:val="BulletText"/>
        <w:numPr>
          <w:ilvl w:val="0"/>
          <w:numId w:val="0"/>
        </w:numPr>
      </w:pPr>
      <w:r w:rsidRPr="001B43BE">
        <w:t>Investment income is expected to be $64</w:t>
      </w:r>
      <w:r>
        <w:t> million</w:t>
      </w:r>
      <w:r w:rsidRPr="001B43BE">
        <w:t xml:space="preserve"> lower a year on average over the budget an</w:t>
      </w:r>
      <w:r>
        <w:t>d forward estimates period. The downward revisions</w:t>
      </w:r>
      <w:r w:rsidRPr="001B43BE">
        <w:t xml:space="preserve"> primarily</w:t>
      </w:r>
      <w:r w:rsidRPr="00E5262A">
        <w:t xml:space="preserve"> reflect the operating performance of the PNFC sector, including</w:t>
      </w:r>
      <w:r>
        <w:t>:</w:t>
      </w:r>
    </w:p>
    <w:p w:rsidR="00F60B5F" w:rsidRDefault="00F60B5F" w:rsidP="00E5262A">
      <w:pPr>
        <w:pStyle w:val="BulletText"/>
      </w:pPr>
      <w:r>
        <w:t xml:space="preserve">a special </w:t>
      </w:r>
      <w:r w:rsidRPr="00E5262A">
        <w:t xml:space="preserve">dividend from </w:t>
      </w:r>
      <w:r>
        <w:t>the SECV being received in 2012</w:t>
      </w:r>
      <w:r>
        <w:noBreakHyphen/>
        <w:t>13, previously expected in 2013</w:t>
      </w:r>
      <w:r>
        <w:noBreakHyphen/>
      </w:r>
      <w:r w:rsidRPr="00E5262A">
        <w:t>14</w:t>
      </w:r>
      <w:r>
        <w:t>;</w:t>
      </w:r>
    </w:p>
    <w:p w:rsidR="00F60B5F" w:rsidRDefault="00F60B5F" w:rsidP="00E5262A">
      <w:pPr>
        <w:pStyle w:val="BulletText"/>
      </w:pPr>
      <w:r w:rsidRPr="00E5262A">
        <w:t>reduced expected dividends and income tax equivalent revenue fr</w:t>
      </w:r>
      <w:r>
        <w:t>om the water industry from 2013</w:t>
      </w:r>
      <w:r>
        <w:noBreakHyphen/>
      </w:r>
      <w:r w:rsidRPr="00E5262A">
        <w:t>14</w:t>
      </w:r>
      <w:r>
        <w:t xml:space="preserve"> onwards</w:t>
      </w:r>
      <w:r w:rsidRPr="00E5262A">
        <w:t>, reflecting revised profit assumptions following the Essential Services Commission’s final pricing decisions</w:t>
      </w:r>
      <w:r>
        <w:t>; and</w:t>
      </w:r>
    </w:p>
    <w:p w:rsidR="00F60B5F" w:rsidRDefault="00F60B5F" w:rsidP="00CB759F">
      <w:pPr>
        <w:pStyle w:val="BulletText"/>
      </w:pPr>
      <w:r w:rsidRPr="00CB759F">
        <w:t>lower expected dividends from the Transport Accident Commission associated with higher projected expense claims due to adverse claims experience</w:t>
      </w:r>
      <w:r>
        <w:t>.</w:t>
      </w:r>
    </w:p>
    <w:p w:rsidR="00F60B5F" w:rsidRPr="00190AAB" w:rsidRDefault="00F60B5F" w:rsidP="00190AAB">
      <w:pPr>
        <w:pStyle w:val="BulletText"/>
        <w:numPr>
          <w:ilvl w:val="0"/>
          <w:numId w:val="0"/>
        </w:numPr>
      </w:pPr>
      <w:r w:rsidRPr="00CB759F">
        <w:t xml:space="preserve">These </w:t>
      </w:r>
      <w:r>
        <w:t xml:space="preserve">downward </w:t>
      </w:r>
      <w:r w:rsidRPr="00CB759F">
        <w:t>revisions have been partly offset by an expected increase to dividends from the Victorian Workcover Authority reflecting reduced claims costs</w:t>
      </w:r>
      <w:r>
        <w:t>.</w:t>
      </w:r>
    </w:p>
    <w:p w:rsidR="00F60B5F" w:rsidRDefault="00F60B5F">
      <w:pPr>
        <w:spacing w:after="0"/>
        <w:rPr>
          <w:rFonts w:ascii="Calibri" w:hAnsi="Calibri"/>
          <w:i/>
          <w:sz w:val="24"/>
          <w:szCs w:val="22"/>
        </w:rPr>
      </w:pPr>
      <w:r>
        <w:br w:type="page"/>
      </w:r>
    </w:p>
    <w:p w:rsidR="00F60B5F" w:rsidRDefault="00F60B5F" w:rsidP="00CC4CE3">
      <w:pPr>
        <w:pStyle w:val="Heading4"/>
      </w:pPr>
      <w:r>
        <w:t>Commonwealth grant variations</w:t>
      </w:r>
    </w:p>
    <w:p w:rsidR="00F60B5F" w:rsidRPr="001B43BE" w:rsidRDefault="00F60B5F" w:rsidP="00CC4CE3">
      <w:r w:rsidRPr="00CB759F">
        <w:t xml:space="preserve">General purpose grants (or GST grants) have </w:t>
      </w:r>
      <w:r w:rsidRPr="001B43BE">
        <w:t>been revised up by $129</w:t>
      </w:r>
      <w:r>
        <w:t> million</w:t>
      </w:r>
      <w:r w:rsidRPr="001B43BE">
        <w:t xml:space="preserve"> a year on average over the budget and forward estimates period. This reflects the net impact of:</w:t>
      </w:r>
    </w:p>
    <w:p w:rsidR="00F60B5F" w:rsidRPr="001B43BE" w:rsidRDefault="00F60B5F" w:rsidP="00CB759F">
      <w:pPr>
        <w:pStyle w:val="BulletText"/>
      </w:pPr>
      <w:r w:rsidRPr="001B43BE">
        <w:t xml:space="preserve">higher growth in the GST national pool, in line with the Commonwealth Government’s estimates published in the </w:t>
      </w:r>
      <w:r w:rsidRPr="001B43BE">
        <w:rPr>
          <w:i/>
        </w:rPr>
        <w:t>2013 Pre</w:t>
      </w:r>
      <w:r>
        <w:rPr>
          <w:i/>
        </w:rPr>
        <w:noBreakHyphen/>
      </w:r>
      <w:r w:rsidRPr="001B43BE">
        <w:rPr>
          <w:i/>
        </w:rPr>
        <w:t>election Economic and Fiscal Outlook</w:t>
      </w:r>
      <w:r w:rsidRPr="001B43BE">
        <w:t>; and</w:t>
      </w:r>
    </w:p>
    <w:p w:rsidR="00F60B5F" w:rsidRPr="001B43BE" w:rsidRDefault="00F60B5F" w:rsidP="00CC4CE3">
      <w:pPr>
        <w:pStyle w:val="BulletText"/>
      </w:pPr>
      <w:r w:rsidRPr="001B43BE">
        <w:t>a slightly lower population share.</w:t>
      </w:r>
    </w:p>
    <w:p w:rsidR="00F60B5F" w:rsidRPr="001B43BE" w:rsidRDefault="00F60B5F" w:rsidP="00CC4CE3">
      <w:r w:rsidRPr="001B43BE">
        <w:t>Commonwealth specific purpose and national partnerships grants revenue has been revised down in 2013</w:t>
      </w:r>
      <w:r>
        <w:noBreakHyphen/>
      </w:r>
      <w:r w:rsidRPr="001B43BE">
        <w:t>14 by $207</w:t>
      </w:r>
      <w:r>
        <w:t> million</w:t>
      </w:r>
      <w:r w:rsidRPr="001B43BE">
        <w:t xml:space="preserve"> but revised upwards in 2014</w:t>
      </w:r>
      <w:r>
        <w:noBreakHyphen/>
      </w:r>
      <w:r w:rsidRPr="001B43BE">
        <w:t>15 by $243</w:t>
      </w:r>
      <w:r>
        <w:t> million</w:t>
      </w:r>
      <w:r w:rsidRPr="001B43BE">
        <w:t>. This largely reflects the Commonwealth Government’s decision to bring forward</w:t>
      </w:r>
      <w:r>
        <w:t xml:space="preserve"> a number of grant payments,</w:t>
      </w:r>
      <w:r w:rsidRPr="001B43BE">
        <w:t xml:space="preserve"> includ</w:t>
      </w:r>
      <w:r>
        <w:t>ing</w:t>
      </w:r>
      <w:r w:rsidRPr="001B43BE">
        <w:t>:</w:t>
      </w:r>
    </w:p>
    <w:p w:rsidR="00F60B5F" w:rsidRPr="001B43BE" w:rsidRDefault="00F60B5F" w:rsidP="00CC4CE3">
      <w:pPr>
        <w:pStyle w:val="BulletText"/>
      </w:pPr>
      <w:r w:rsidRPr="001B43BE">
        <w:t>the Commonwealth Government rephasing financial assistance grants to local government and grants for roads and Regional Rail Link from 2013</w:t>
      </w:r>
      <w:r>
        <w:noBreakHyphen/>
      </w:r>
      <w:r w:rsidRPr="001B43BE">
        <w:t>14 into 2012</w:t>
      </w:r>
      <w:r>
        <w:noBreakHyphen/>
      </w:r>
      <w:r w:rsidRPr="001B43BE">
        <w:t xml:space="preserve">13; </w:t>
      </w:r>
    </w:p>
    <w:p w:rsidR="00F60B5F" w:rsidRPr="001B43BE" w:rsidRDefault="00F60B5F" w:rsidP="00CB759F">
      <w:pPr>
        <w:pStyle w:val="BulletText"/>
      </w:pPr>
      <w:r w:rsidRPr="001B43BE">
        <w:t>the rephasing of Regional Rail Link payments by the Commonwealth from 2015</w:t>
      </w:r>
      <w:r>
        <w:noBreakHyphen/>
      </w:r>
      <w:r w:rsidRPr="001B43BE">
        <w:t xml:space="preserve">16 into </w:t>
      </w:r>
      <w:r>
        <w:t>2013</w:t>
      </w:r>
      <w:r>
        <w:noBreakHyphen/>
        <w:t xml:space="preserve">14 and </w:t>
      </w:r>
      <w:r w:rsidRPr="001B43BE">
        <w:t>2014</w:t>
      </w:r>
      <w:r>
        <w:noBreakHyphen/>
      </w:r>
      <w:r w:rsidRPr="001B43BE">
        <w:t>15; and</w:t>
      </w:r>
    </w:p>
    <w:p w:rsidR="00F60B5F" w:rsidRPr="001B43BE" w:rsidRDefault="00F60B5F" w:rsidP="00CB759F">
      <w:pPr>
        <w:pStyle w:val="BulletText"/>
      </w:pPr>
      <w:r w:rsidRPr="001B43BE">
        <w:t>additional capital payments for hospitals from the Health and Hospitals Fund.</w:t>
      </w:r>
    </w:p>
    <w:p w:rsidR="00F60B5F" w:rsidRPr="001B43BE" w:rsidRDefault="00F60B5F" w:rsidP="00CC4CE3">
      <w:pPr>
        <w:pStyle w:val="BulletText"/>
        <w:numPr>
          <w:ilvl w:val="0"/>
          <w:numId w:val="0"/>
        </w:numPr>
      </w:pPr>
      <w:r w:rsidRPr="001B43BE">
        <w:t>In 2015</w:t>
      </w:r>
      <w:r>
        <w:noBreakHyphen/>
      </w:r>
      <w:r w:rsidRPr="001B43BE">
        <w:t>16 and 2016</w:t>
      </w:r>
      <w:r>
        <w:noBreakHyphen/>
      </w:r>
      <w:r w:rsidRPr="001B43BE">
        <w:t>17, non</w:t>
      </w:r>
      <w:r>
        <w:noBreakHyphen/>
      </w:r>
      <w:r w:rsidRPr="001B43BE">
        <w:t>GST grants revenue has been revised down by $361</w:t>
      </w:r>
      <w:r>
        <w:t> million</w:t>
      </w:r>
      <w:r w:rsidRPr="001B43BE">
        <w:t xml:space="preserve"> a year on average, largely as a result of: </w:t>
      </w:r>
    </w:p>
    <w:p w:rsidR="00F60B5F" w:rsidRPr="001B43BE" w:rsidRDefault="00F60B5F" w:rsidP="00C04E2C">
      <w:pPr>
        <w:pStyle w:val="BulletText"/>
      </w:pPr>
      <w:r w:rsidRPr="001B43BE">
        <w:t>the removal of funding in recognition of the transfer of Home and Community Care services for over 65s to the Commonwealth; and</w:t>
      </w:r>
    </w:p>
    <w:p w:rsidR="00F60B5F" w:rsidRPr="001B43BE" w:rsidRDefault="00F60B5F" w:rsidP="00C04E2C">
      <w:pPr>
        <w:pStyle w:val="BulletText"/>
      </w:pPr>
      <w:r w:rsidRPr="001B43BE">
        <w:t>the rephasing of Regional Rail Link funding into earlier years; partly offset by</w:t>
      </w:r>
    </w:p>
    <w:p w:rsidR="00F60B5F" w:rsidRPr="001B43BE" w:rsidRDefault="00F60B5F" w:rsidP="00C04E2C">
      <w:pPr>
        <w:pStyle w:val="BulletText"/>
      </w:pPr>
      <w:r w:rsidRPr="001B43BE">
        <w:t>increased state road grants.</w:t>
      </w:r>
    </w:p>
    <w:p w:rsidR="00F60B5F" w:rsidRPr="001B43BE" w:rsidRDefault="00F60B5F" w:rsidP="00C04E2C">
      <w:pPr>
        <w:pStyle w:val="BulletText"/>
        <w:numPr>
          <w:ilvl w:val="0"/>
          <w:numId w:val="0"/>
        </w:numPr>
      </w:pPr>
      <w:r w:rsidRPr="001B43BE">
        <w:t>Across the budget and forward estimates period there have also been revisions to Commonwealth revenues for the health</w:t>
      </w:r>
      <w:r>
        <w:t xml:space="preserve">, </w:t>
      </w:r>
      <w:bookmarkStart w:id="14" w:name="OLE_LINK3"/>
      <w:bookmarkStart w:id="15" w:name="OLE_LINK4"/>
      <w:r>
        <w:t>human services</w:t>
      </w:r>
      <w:bookmarkEnd w:id="14"/>
      <w:bookmarkEnd w:id="15"/>
      <w:r w:rsidRPr="001B43BE">
        <w:t xml:space="preserve"> and education sectors that have largely been offset by corresponding expense revisions.</w:t>
      </w:r>
    </w:p>
    <w:p w:rsidR="00F60B5F" w:rsidRPr="001B43BE" w:rsidRDefault="00F60B5F" w:rsidP="00CC4CE3">
      <w:pPr>
        <w:pStyle w:val="Heading4"/>
      </w:pPr>
      <w:r w:rsidRPr="001B43BE">
        <w:t>Own</w:t>
      </w:r>
      <w:r>
        <w:noBreakHyphen/>
      </w:r>
      <w:r w:rsidRPr="001B43BE">
        <w:t>source revenue</w:t>
      </w:r>
    </w:p>
    <w:p w:rsidR="00F60B5F" w:rsidRPr="001B43BE" w:rsidRDefault="00F60B5F" w:rsidP="00CC4CE3">
      <w:r w:rsidRPr="001B43BE">
        <w:t>Own</w:t>
      </w:r>
      <w:r>
        <w:noBreakHyphen/>
      </w:r>
      <w:r w:rsidRPr="001B43BE">
        <w:t>source revenue is lower throughout the budget and forward estimates period by an average of $34</w:t>
      </w:r>
      <w:r>
        <w:t> million</w:t>
      </w:r>
      <w:r w:rsidRPr="001B43BE">
        <w:t xml:space="preserve"> a year. This primarily reflects lower interest revenue forecasts for the Legal Services Board and lower expected sales volumes in 2013</w:t>
      </w:r>
      <w:r>
        <w:noBreakHyphen/>
      </w:r>
      <w:r w:rsidRPr="001B43BE">
        <w:t>14 for Land Victoria.</w:t>
      </w:r>
    </w:p>
    <w:p w:rsidR="00F60B5F" w:rsidRDefault="00F60B5F">
      <w:pPr>
        <w:spacing w:after="0"/>
        <w:rPr>
          <w:rFonts w:ascii="Calibri" w:hAnsi="Calibri"/>
          <w:i/>
          <w:sz w:val="24"/>
          <w:szCs w:val="22"/>
        </w:rPr>
      </w:pPr>
      <w:r>
        <w:br w:type="page"/>
      </w:r>
    </w:p>
    <w:p w:rsidR="00F60B5F" w:rsidRPr="001B43BE" w:rsidRDefault="00F60B5F" w:rsidP="00CC4CE3">
      <w:pPr>
        <w:pStyle w:val="Heading4"/>
      </w:pPr>
      <w:r w:rsidRPr="001B43BE">
        <w:t>Administrative variations</w:t>
      </w:r>
    </w:p>
    <w:p w:rsidR="00F60B5F" w:rsidRDefault="00F60B5F" w:rsidP="00CC4CE3">
      <w:r w:rsidRPr="001B43BE">
        <w:t>Revenue estimates have been revised downwards by $182</w:t>
      </w:r>
      <w:r>
        <w:t> million</w:t>
      </w:r>
      <w:r w:rsidRPr="001B43BE">
        <w:t xml:space="preserve"> in 2013</w:t>
      </w:r>
      <w:r>
        <w:noBreakHyphen/>
      </w:r>
      <w:r w:rsidRPr="001B43BE">
        <w:t>14 and $4</w:t>
      </w:r>
      <w:r>
        <w:t>73 million</w:t>
      </w:r>
      <w:r w:rsidRPr="001B43BE">
        <w:t xml:space="preserve"> a year on average over the forward estimates period primarily due to </w:t>
      </w:r>
      <w:r>
        <w:t>a downwards revision to public transport fare revenue estimates</w:t>
      </w:r>
      <w:r w:rsidRPr="001B43BE">
        <w:t xml:space="preserve"> </w:t>
      </w:r>
      <w:r>
        <w:t xml:space="preserve">and </w:t>
      </w:r>
      <w:r w:rsidRPr="001B43BE">
        <w:t>the contracted change in public transport fare revenue sharing arrangements</w:t>
      </w:r>
      <w:r w:rsidRPr="00C04E2C">
        <w:t xml:space="preserve"> with Metro Trains and Yarra Trams following the full rollout of the </w:t>
      </w:r>
      <w:r w:rsidRPr="005E7286">
        <w:rPr>
          <w:i/>
        </w:rPr>
        <w:t>myki</w:t>
      </w:r>
      <w:r w:rsidRPr="00C04E2C">
        <w:t xml:space="preserve"> ticketing system. These decreases are part</w:t>
      </w:r>
      <w:r>
        <w:t>l</w:t>
      </w:r>
      <w:r w:rsidRPr="00C04E2C">
        <w:t>y offset by increases in revenue associated with</w:t>
      </w:r>
      <w:r>
        <w:t xml:space="preserve">: </w:t>
      </w:r>
    </w:p>
    <w:p w:rsidR="00F60B5F" w:rsidRDefault="00F60B5F" w:rsidP="00C04E2C">
      <w:pPr>
        <w:pStyle w:val="BulletText"/>
      </w:pPr>
      <w:r w:rsidRPr="00C04E2C">
        <w:t xml:space="preserve">increases in fines and regulatory fee revenue driven by </w:t>
      </w:r>
      <w:r>
        <w:t xml:space="preserve">an increase in infringement volumes and </w:t>
      </w:r>
      <w:r w:rsidRPr="00C04E2C">
        <w:t>the processing of a backlog of infringements</w:t>
      </w:r>
      <w:r>
        <w:t>;</w:t>
      </w:r>
      <w:r w:rsidRPr="00173A53">
        <w:t xml:space="preserve"> </w:t>
      </w:r>
      <w:r>
        <w:t>and</w:t>
      </w:r>
    </w:p>
    <w:p w:rsidR="00F60B5F" w:rsidRDefault="00F60B5F" w:rsidP="00C04E2C">
      <w:pPr>
        <w:pStyle w:val="BulletText"/>
      </w:pPr>
      <w:r w:rsidRPr="00C04E2C">
        <w:t>updat</w:t>
      </w:r>
      <w:r>
        <w:t>ed revenue</w:t>
      </w:r>
      <w:r w:rsidRPr="00C04E2C">
        <w:t xml:space="preserve"> estimates f</w:t>
      </w:r>
      <w:r>
        <w:t>or schools to better reflect expected operating performance</w:t>
      </w:r>
      <w:r w:rsidRPr="006A3BB1">
        <w:t>.</w:t>
      </w:r>
    </w:p>
    <w:p w:rsidR="00F60B5F" w:rsidRDefault="00F60B5F" w:rsidP="00CC4CE3">
      <w:pPr>
        <w:pStyle w:val="Heading3"/>
      </w:pPr>
      <w:r>
        <w:t>Variations to expenses from transactions</w:t>
      </w:r>
    </w:p>
    <w:p w:rsidR="00F60B5F" w:rsidRPr="005E7286" w:rsidRDefault="00F60B5F" w:rsidP="005E7286">
      <w:pPr>
        <w:pStyle w:val="Heading4"/>
      </w:pPr>
      <w:r w:rsidRPr="005E7286">
        <w:t>Policy decision variations</w:t>
      </w:r>
    </w:p>
    <w:p w:rsidR="00F60B5F" w:rsidRPr="001B43BE" w:rsidRDefault="00F60B5F" w:rsidP="00CC4CE3">
      <w:r w:rsidRPr="00440D6C">
        <w:t xml:space="preserve">Policy decisions are projected to </w:t>
      </w:r>
      <w:r w:rsidRPr="001B43BE">
        <w:t>increase expenses by $65</w:t>
      </w:r>
      <w:r>
        <w:t> million</w:t>
      </w:r>
      <w:r w:rsidRPr="001B43BE">
        <w:t xml:space="preserve"> a year on average over the budget and forward estimates period.</w:t>
      </w:r>
    </w:p>
    <w:p w:rsidR="00F60B5F" w:rsidRPr="001B43BE" w:rsidRDefault="00F60B5F" w:rsidP="00CC4CE3">
      <w:r w:rsidRPr="001B43BE">
        <w:t xml:space="preserve">Details of specific policy initiatives including efficiency measures since the </w:t>
      </w:r>
      <w:r w:rsidRPr="001B43BE">
        <w:rPr>
          <w:i/>
        </w:rPr>
        <w:t>2013</w:t>
      </w:r>
      <w:r>
        <w:rPr>
          <w:i/>
        </w:rPr>
        <w:noBreakHyphen/>
      </w:r>
      <w:r w:rsidRPr="001B43BE">
        <w:rPr>
          <w:i/>
        </w:rPr>
        <w:t>14 Budget</w:t>
      </w:r>
      <w:r w:rsidRPr="001B43BE">
        <w:t xml:space="preserve"> are contained in </w:t>
      </w:r>
      <w:r w:rsidRPr="008A19A5">
        <w:t>Appendix A</w:t>
      </w:r>
      <w:r w:rsidRPr="001B43BE">
        <w:t xml:space="preserve"> </w:t>
      </w:r>
      <w:r w:rsidRPr="001B43BE">
        <w:rPr>
          <w:i/>
        </w:rPr>
        <w:t>Specific policy initiatives affecting budget position</w:t>
      </w:r>
      <w:r w:rsidRPr="001B43BE">
        <w:t>.</w:t>
      </w:r>
    </w:p>
    <w:p w:rsidR="00F60B5F" w:rsidRPr="001B43BE" w:rsidRDefault="00F60B5F" w:rsidP="005E7286">
      <w:pPr>
        <w:pStyle w:val="Heading4"/>
      </w:pPr>
      <w:r w:rsidRPr="001B43BE">
        <w:t>Commonwealth grant variations</w:t>
      </w:r>
    </w:p>
    <w:p w:rsidR="00F60B5F" w:rsidRPr="001B43BE" w:rsidRDefault="00F60B5F" w:rsidP="00CC4CE3">
      <w:r w:rsidRPr="001B43BE">
        <w:t>Expenditure revisions associated with Commonwealth grant variations account for lower expenditure in 2013</w:t>
      </w:r>
      <w:r>
        <w:noBreakHyphen/>
      </w:r>
      <w:r w:rsidRPr="001B43BE">
        <w:t>14 by $177</w:t>
      </w:r>
      <w:r>
        <w:t> million</w:t>
      </w:r>
      <w:r w:rsidRPr="001B43BE">
        <w:t xml:space="preserve"> and an increase of $110</w:t>
      </w:r>
      <w:r>
        <w:t> million</w:t>
      </w:r>
      <w:r w:rsidRPr="001B43BE">
        <w:t xml:space="preserve"> in 2014</w:t>
      </w:r>
      <w:r>
        <w:noBreakHyphen/>
      </w:r>
      <w:r w:rsidRPr="001B43BE">
        <w:t>15. This reflects:</w:t>
      </w:r>
    </w:p>
    <w:p w:rsidR="00F60B5F" w:rsidRPr="001B43BE" w:rsidRDefault="00F60B5F" w:rsidP="00440D6C">
      <w:pPr>
        <w:pStyle w:val="BulletText"/>
      </w:pPr>
      <w:r w:rsidRPr="001B43BE">
        <w:t>the rephasing of Commonwealth financial assistance grants to local government from 2013</w:t>
      </w:r>
      <w:r>
        <w:noBreakHyphen/>
      </w:r>
      <w:r w:rsidRPr="001B43BE">
        <w:t>14 into 2012</w:t>
      </w:r>
      <w:r>
        <w:noBreakHyphen/>
      </w:r>
      <w:r w:rsidRPr="001B43BE">
        <w:t>13; partly offset by</w:t>
      </w:r>
    </w:p>
    <w:p w:rsidR="00F60B5F" w:rsidRPr="001B43BE" w:rsidRDefault="00F60B5F" w:rsidP="007F29D7">
      <w:pPr>
        <w:pStyle w:val="BulletText"/>
      </w:pPr>
      <w:r w:rsidRPr="001B43BE">
        <w:t>revisions to health</w:t>
      </w:r>
      <w:r>
        <w:t>, human services</w:t>
      </w:r>
      <w:r w:rsidRPr="001B43BE">
        <w:t xml:space="preserve"> and education funding agreements across the budget and forward estimate</w:t>
      </w:r>
      <w:r>
        <w:t>s</w:t>
      </w:r>
      <w:r w:rsidRPr="001B43BE">
        <w:t xml:space="preserve"> </w:t>
      </w:r>
      <w:r>
        <w:t>period</w:t>
      </w:r>
      <w:r w:rsidRPr="001B43BE">
        <w:t>.</w:t>
      </w:r>
    </w:p>
    <w:p w:rsidR="00F60B5F" w:rsidRPr="001B43BE" w:rsidRDefault="00F60B5F" w:rsidP="00850A40">
      <w:pPr>
        <w:pStyle w:val="BulletText"/>
        <w:numPr>
          <w:ilvl w:val="0"/>
          <w:numId w:val="0"/>
        </w:numPr>
      </w:pPr>
      <w:r w:rsidRPr="001B43BE">
        <w:t>In 2015</w:t>
      </w:r>
      <w:r>
        <w:noBreakHyphen/>
      </w:r>
      <w:r w:rsidRPr="001B43BE">
        <w:t>16 and 2016</w:t>
      </w:r>
      <w:r>
        <w:noBreakHyphen/>
      </w:r>
      <w:r w:rsidRPr="001B43BE">
        <w:t>17, Commonwealth grant variations have decreased operating expenses by $336</w:t>
      </w:r>
      <w:r>
        <w:t> million</w:t>
      </w:r>
      <w:r w:rsidRPr="001B43BE">
        <w:t xml:space="preserve"> a year on average largely driven by the removal of expenditure associated with the Home and Community Care national partnership to recognise the transfer of Home and Community Care services for over 65s to the Commonwealth.</w:t>
      </w:r>
    </w:p>
    <w:p w:rsidR="00F60B5F" w:rsidRPr="001B43BE" w:rsidRDefault="00F60B5F" w:rsidP="00CC4CE3">
      <w:pPr>
        <w:pStyle w:val="Heading4"/>
      </w:pPr>
      <w:r w:rsidRPr="001B43BE">
        <w:t>Variations in own</w:t>
      </w:r>
      <w:r>
        <w:noBreakHyphen/>
      </w:r>
      <w:r w:rsidRPr="001B43BE">
        <w:t>sourced revenue</w:t>
      </w:r>
    </w:p>
    <w:p w:rsidR="00F60B5F" w:rsidRPr="001B43BE" w:rsidRDefault="00F60B5F" w:rsidP="00CC4CE3">
      <w:r w:rsidRPr="001B43BE">
        <w:t>Own</w:t>
      </w:r>
      <w:r>
        <w:noBreakHyphen/>
      </w:r>
      <w:r w:rsidRPr="001B43BE">
        <w:t>source expenses are $11</w:t>
      </w:r>
      <w:r>
        <w:t> million</w:t>
      </w:r>
      <w:r w:rsidRPr="001B43BE">
        <w:t xml:space="preserve"> lower on average each year of </w:t>
      </w:r>
      <w:r>
        <w:t>the budget and forward estimates</w:t>
      </w:r>
      <w:r w:rsidRPr="001B43BE">
        <w:t xml:space="preserve"> period. This primarily relates to lower expected expenditure by the Legal Services Board associated with lower interest revenue estimates.</w:t>
      </w:r>
    </w:p>
    <w:p w:rsidR="00F60B5F" w:rsidRDefault="00F60B5F">
      <w:pPr>
        <w:spacing w:after="0"/>
        <w:rPr>
          <w:rFonts w:ascii="Calibri" w:hAnsi="Calibri"/>
          <w:i/>
          <w:sz w:val="24"/>
          <w:szCs w:val="22"/>
        </w:rPr>
      </w:pPr>
      <w:r>
        <w:br w:type="page"/>
      </w:r>
    </w:p>
    <w:p w:rsidR="00F60B5F" w:rsidRPr="001B43BE" w:rsidRDefault="00F60B5F" w:rsidP="00CC4CE3">
      <w:pPr>
        <w:pStyle w:val="Heading4"/>
      </w:pPr>
      <w:r w:rsidRPr="001B43BE">
        <w:t>Administrative variations</w:t>
      </w:r>
    </w:p>
    <w:p w:rsidR="00F60B5F" w:rsidRPr="001B43BE" w:rsidRDefault="00F60B5F" w:rsidP="00CC4CE3">
      <w:r w:rsidRPr="001B43BE">
        <w:t xml:space="preserve">Superannuation related expenditure is forecast to be lower than </w:t>
      </w:r>
      <w:r w:rsidRPr="001B43BE">
        <w:rPr>
          <w:i/>
        </w:rPr>
        <w:t>2013</w:t>
      </w:r>
      <w:r>
        <w:rPr>
          <w:i/>
        </w:rPr>
        <w:noBreakHyphen/>
      </w:r>
      <w:r w:rsidRPr="001B43BE">
        <w:rPr>
          <w:i/>
        </w:rPr>
        <w:t>14 Budget</w:t>
      </w:r>
      <w:r w:rsidRPr="001B43BE">
        <w:t xml:space="preserve"> by $155</w:t>
      </w:r>
      <w:r>
        <w:t> million</w:t>
      </w:r>
      <w:r w:rsidRPr="001B43BE">
        <w:t xml:space="preserve"> a year on average over the budget and forward estimates period. This is primarily due to movements in the bond yield that underpins key superannuation valuation assumptions.</w:t>
      </w:r>
    </w:p>
    <w:p w:rsidR="00F60B5F" w:rsidRDefault="00F60B5F" w:rsidP="00CC4CE3">
      <w:pPr>
        <w:rPr>
          <w:highlight w:val="yellow"/>
        </w:rPr>
      </w:pPr>
      <w:r w:rsidRPr="001B43BE">
        <w:t>Other administrative variations are projected to decrease expenses by $48</w:t>
      </w:r>
      <w:r>
        <w:t> million</w:t>
      </w:r>
      <w:r w:rsidRPr="001B43BE">
        <w:t xml:space="preserve"> in 2013</w:t>
      </w:r>
      <w:r>
        <w:noBreakHyphen/>
      </w:r>
      <w:r w:rsidRPr="001B43BE">
        <w:t>14 and $394</w:t>
      </w:r>
      <w:r>
        <w:t> million</w:t>
      </w:r>
      <w:r w:rsidRPr="001B43BE">
        <w:t xml:space="preserve"> a year on average over the forward estimates period</w:t>
      </w:r>
      <w:r>
        <w:t>.</w:t>
      </w:r>
    </w:p>
    <w:p w:rsidR="00F60B5F" w:rsidRDefault="00F60B5F" w:rsidP="00322A01">
      <w:pPr>
        <w:pStyle w:val="BulletText"/>
        <w:numPr>
          <w:ilvl w:val="0"/>
          <w:numId w:val="0"/>
        </w:numPr>
      </w:pPr>
      <w:r>
        <w:t>Downward revisions to expenses due to a</w:t>
      </w:r>
      <w:r w:rsidRPr="00440D6C">
        <w:t xml:space="preserve">dministrative variations primarily reflect the </w:t>
      </w:r>
      <w:r w:rsidRPr="004173D1">
        <w:t>contracted change in public transport fare revenue sharing arrangements</w:t>
      </w:r>
      <w:r>
        <w:t xml:space="preserve"> </w:t>
      </w:r>
      <w:r w:rsidRPr="004173D1">
        <w:t xml:space="preserve">following the full rollout of the </w:t>
      </w:r>
      <w:r w:rsidRPr="007F3E93">
        <w:rPr>
          <w:i/>
        </w:rPr>
        <w:t>myki</w:t>
      </w:r>
      <w:r w:rsidRPr="004173D1">
        <w:t xml:space="preserve"> ticketing system</w:t>
      </w:r>
      <w:r>
        <w:t xml:space="preserve"> resulting in lower payments to</w:t>
      </w:r>
      <w:r w:rsidRPr="004173D1">
        <w:t xml:space="preserve"> Metro Trains and Yarra Trams</w:t>
      </w:r>
      <w:r w:rsidRPr="00440D6C">
        <w:t xml:space="preserve">. </w:t>
      </w:r>
      <w:r>
        <w:t>The 2016</w:t>
      </w:r>
      <w:r>
        <w:noBreakHyphen/>
        <w:t>17 estimate has also been impacted by an increase in estimated quarterly service payments. The</w:t>
      </w:r>
      <w:r w:rsidRPr="00440D6C">
        <w:t>s</w:t>
      </w:r>
      <w:r>
        <w:t>e</w:t>
      </w:r>
      <w:r w:rsidRPr="00440D6C">
        <w:t xml:space="preserve"> </w:t>
      </w:r>
      <w:r>
        <w:t xml:space="preserve">reductions </w:t>
      </w:r>
      <w:r w:rsidRPr="00440D6C">
        <w:t>ha</w:t>
      </w:r>
      <w:r>
        <w:t>ve</w:t>
      </w:r>
      <w:r w:rsidRPr="00440D6C">
        <w:t xml:space="preserve"> been partly offset by </w:t>
      </w:r>
      <w:r>
        <w:t xml:space="preserve">upward </w:t>
      </w:r>
      <w:r w:rsidRPr="00440D6C">
        <w:t>revisions to the price of contracted services, and revised operating expense estimates for govern</w:t>
      </w:r>
      <w:r>
        <w:t>ment entities including schools</w:t>
      </w:r>
      <w:r w:rsidRPr="00440D6C">
        <w:t xml:space="preserve"> </w:t>
      </w:r>
      <w:r>
        <w:t>to better reflect expected operating performance.</w:t>
      </w:r>
    </w:p>
    <w:p w:rsidR="00F60B5F" w:rsidRDefault="00F60B5F" w:rsidP="00322A01">
      <w:pPr>
        <w:pStyle w:val="BulletText"/>
        <w:numPr>
          <w:ilvl w:val="0"/>
          <w:numId w:val="0"/>
        </w:numPr>
      </w:pPr>
      <w:r>
        <w:t>The revised 2013</w:t>
      </w:r>
      <w:r>
        <w:noBreakHyphen/>
      </w:r>
      <w:r w:rsidRPr="00440D6C">
        <w:t xml:space="preserve">14 estimate is additionally </w:t>
      </w:r>
      <w:r>
        <w:t xml:space="preserve">affected </w:t>
      </w:r>
      <w:r w:rsidRPr="00440D6C">
        <w:t>by</w:t>
      </w:r>
      <w:r>
        <w:t xml:space="preserve"> upwards revisions to expenses associated with:</w:t>
      </w:r>
      <w:r w:rsidRPr="00322A01">
        <w:t xml:space="preserve"> </w:t>
      </w:r>
    </w:p>
    <w:p w:rsidR="00F60B5F" w:rsidRDefault="00F60B5F" w:rsidP="00F27D34">
      <w:pPr>
        <w:pStyle w:val="BulletText"/>
      </w:pPr>
      <w:r w:rsidRPr="00D56810">
        <w:t>activities of the TAFE sector</w:t>
      </w:r>
      <w:r>
        <w:t>; and</w:t>
      </w:r>
    </w:p>
    <w:p w:rsidR="00F60B5F" w:rsidRDefault="00F60B5F" w:rsidP="00F27D34">
      <w:pPr>
        <w:pStyle w:val="BulletText"/>
      </w:pPr>
      <w:r w:rsidRPr="00F27D34">
        <w:t>further payments to local councils for restoration works associated with floods</w:t>
      </w:r>
      <w:r>
        <w:t>.</w:t>
      </w:r>
    </w:p>
    <w:p w:rsidR="00F60B5F" w:rsidRPr="00F27D34" w:rsidRDefault="00F60B5F" w:rsidP="00F27D34">
      <w:pPr>
        <w:pStyle w:val="BulletText"/>
        <w:numPr>
          <w:ilvl w:val="0"/>
          <w:numId w:val="0"/>
        </w:numPr>
      </w:pPr>
      <w:r>
        <w:t>The</w:t>
      </w:r>
      <w:r w:rsidRPr="00F27D34">
        <w:t xml:space="preserve"> forward estimates </w:t>
      </w:r>
      <w:r>
        <w:t>period also</w:t>
      </w:r>
      <w:r w:rsidRPr="00F27D34">
        <w:t xml:space="preserve"> </w:t>
      </w:r>
      <w:r>
        <w:t xml:space="preserve">reflects revisions to contingencies to better reflect growth in expenditure associated with the revised fiscal and economic outlook, as well as </w:t>
      </w:r>
      <w:r w:rsidRPr="00F27D34">
        <w:t>variations to depreciation</w:t>
      </w:r>
      <w:r>
        <w:t xml:space="preserve"> and interest costs.</w:t>
      </w:r>
    </w:p>
    <w:p w:rsidR="00F60B5F" w:rsidRDefault="00F60B5F" w:rsidP="00CC4CE3">
      <w:pPr>
        <w:pStyle w:val="Heading2"/>
      </w:pPr>
      <w:r>
        <w:t>Cash flows</w:t>
      </w:r>
    </w:p>
    <w:p w:rsidR="00F60B5F" w:rsidRDefault="00F60B5F" w:rsidP="00CC4CE3">
      <w:r>
        <w:t xml:space="preserve">The Government’s commitment to restrain expenditure growth and drive improved public sector productivity will provide increased cash from operating activities over the budget and forward estimates period to fund infrastructure investments while prudently managing net debt. </w:t>
      </w:r>
    </w:p>
    <w:p w:rsidR="00F60B5F" w:rsidRDefault="00F60B5F">
      <w:pPr>
        <w:spacing w:after="0"/>
        <w:rPr>
          <w:rFonts w:ascii="Calibri" w:hAnsi="Calibri"/>
          <w:b/>
        </w:rPr>
      </w:pPr>
      <w:r>
        <w:br w:type="page"/>
      </w:r>
    </w:p>
    <w:p w:rsidR="00F60B5F" w:rsidRDefault="00F60B5F" w:rsidP="00CC4CE3">
      <w:pPr>
        <w:pStyle w:val="Tableheading"/>
      </w:pPr>
      <w:r>
        <w:t>Table 3.4:</w:t>
      </w:r>
      <w:r>
        <w:tab/>
        <w:t>Application of cash resources for the general government sector</w:t>
      </w:r>
    </w:p>
    <w:p w:rsidR="00F60B5F" w:rsidRPr="00A566BE" w:rsidRDefault="00F60B5F" w:rsidP="004C49C2">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93"/>
      </w:tblGrid>
      <w:tr w:rsidR="00F60B5F" w:rsidRPr="00A566BE" w:rsidTr="00A566BE">
        <w:trPr>
          <w:cantSplit/>
        </w:trPr>
        <w:tc>
          <w:tcPr>
            <w:tcW w:w="2810" w:type="dxa"/>
            <w:tcBorders>
              <w:top w:val="single" w:sz="4" w:space="0" w:color="auto"/>
              <w:left w:val="single" w:sz="4" w:space="0" w:color="auto"/>
              <w:bottom w:val="nil"/>
              <w:right w:val="nil"/>
            </w:tcBorders>
            <w:shd w:val="clear" w:color="auto" w:fill="000000"/>
          </w:tcPr>
          <w:p w:rsidR="00F60B5F" w:rsidRPr="00A566BE" w:rsidRDefault="00F60B5F" w:rsidP="00A566BE">
            <w:pPr>
              <w:pStyle w:val="Tabletext"/>
              <w:rPr>
                <w:rFonts w:eastAsiaTheme="minorEastAsia"/>
                <w:sz w:val="19"/>
                <w:lang w:eastAsia="en-AU"/>
              </w:rPr>
            </w:pPr>
            <w:r w:rsidRPr="00A566BE">
              <w:rPr>
                <w:rFonts w:eastAsiaTheme="minorEastAsia"/>
                <w:sz w:val="19"/>
                <w:lang w:eastAsia="en-AU"/>
              </w:rPr>
              <w:t xml:space="preserve"> </w:t>
            </w:r>
          </w:p>
        </w:tc>
        <w:tc>
          <w:tcPr>
            <w:tcW w:w="994" w:type="dxa"/>
            <w:gridSpan w:val="2"/>
            <w:tcBorders>
              <w:top w:val="single" w:sz="4" w:space="0" w:color="auto"/>
              <w:left w:val="nil"/>
              <w:bottom w:val="nil"/>
              <w:right w:val="nil"/>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2012</w:t>
            </w:r>
            <w:r>
              <w:rPr>
                <w:rFonts w:eastAsiaTheme="minorEastAsia"/>
                <w:sz w:val="19"/>
                <w:lang w:eastAsia="en-AU"/>
              </w:rPr>
              <w:noBreakHyphen/>
            </w:r>
            <w:r w:rsidRPr="00A566BE">
              <w:rPr>
                <w:rFonts w:eastAsiaTheme="minorEastAsia"/>
                <w:sz w:val="19"/>
                <w:lang w:eastAsia="en-AU"/>
              </w:rPr>
              <w:t>13</w:t>
            </w:r>
          </w:p>
        </w:tc>
        <w:tc>
          <w:tcPr>
            <w:tcW w:w="993" w:type="dxa"/>
            <w:tcBorders>
              <w:top w:val="single" w:sz="4" w:space="0" w:color="auto"/>
              <w:left w:val="nil"/>
              <w:bottom w:val="nil"/>
              <w:right w:val="nil"/>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2013</w:t>
            </w:r>
            <w:r>
              <w:rPr>
                <w:rFonts w:eastAsiaTheme="minorEastAsia"/>
                <w:sz w:val="19"/>
                <w:lang w:eastAsia="en-AU"/>
              </w:rPr>
              <w:noBreakHyphen/>
            </w:r>
            <w:r w:rsidRPr="00A566BE">
              <w:rPr>
                <w:rFonts w:eastAsiaTheme="minorEastAsia"/>
                <w:sz w:val="19"/>
                <w:lang w:eastAsia="en-AU"/>
              </w:rPr>
              <w:t>14</w:t>
            </w:r>
          </w:p>
        </w:tc>
        <w:tc>
          <w:tcPr>
            <w:tcW w:w="993" w:type="dxa"/>
            <w:tcBorders>
              <w:top w:val="single" w:sz="4" w:space="0" w:color="auto"/>
              <w:left w:val="nil"/>
              <w:bottom w:val="nil"/>
              <w:right w:val="nil"/>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2014</w:t>
            </w:r>
            <w:r>
              <w:rPr>
                <w:rFonts w:eastAsiaTheme="minorEastAsia"/>
                <w:sz w:val="19"/>
                <w:lang w:eastAsia="en-AU"/>
              </w:rPr>
              <w:noBreakHyphen/>
            </w:r>
            <w:r w:rsidRPr="00A566BE">
              <w:rPr>
                <w:rFonts w:eastAsiaTheme="minorEastAsia"/>
                <w:sz w:val="19"/>
                <w:lang w:eastAsia="en-AU"/>
              </w:rPr>
              <w:t>15</w:t>
            </w:r>
          </w:p>
        </w:tc>
        <w:tc>
          <w:tcPr>
            <w:tcW w:w="993" w:type="dxa"/>
            <w:tcBorders>
              <w:top w:val="single" w:sz="4" w:space="0" w:color="auto"/>
              <w:left w:val="nil"/>
              <w:bottom w:val="nil"/>
              <w:right w:val="nil"/>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2015</w:t>
            </w:r>
            <w:r>
              <w:rPr>
                <w:rFonts w:eastAsiaTheme="minorEastAsia"/>
                <w:sz w:val="19"/>
                <w:lang w:eastAsia="en-AU"/>
              </w:rPr>
              <w:noBreakHyphen/>
            </w:r>
            <w:r w:rsidRPr="00A566BE">
              <w:rPr>
                <w:rFonts w:eastAsiaTheme="minorEastAsia"/>
                <w:sz w:val="19"/>
                <w:lang w:eastAsia="en-AU"/>
              </w:rPr>
              <w:t>16</w:t>
            </w:r>
          </w:p>
        </w:tc>
        <w:tc>
          <w:tcPr>
            <w:tcW w:w="993" w:type="dxa"/>
            <w:tcBorders>
              <w:top w:val="single" w:sz="4" w:space="0" w:color="auto"/>
              <w:left w:val="nil"/>
              <w:bottom w:val="nil"/>
              <w:right w:val="single" w:sz="4" w:space="0" w:color="auto"/>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2016</w:t>
            </w:r>
            <w:r>
              <w:rPr>
                <w:rFonts w:eastAsiaTheme="minorEastAsia"/>
                <w:sz w:val="19"/>
                <w:lang w:eastAsia="en-AU"/>
              </w:rPr>
              <w:noBreakHyphen/>
            </w:r>
            <w:r w:rsidRPr="00A566BE">
              <w:rPr>
                <w:rFonts w:eastAsiaTheme="minorEastAsia"/>
                <w:sz w:val="19"/>
                <w:lang w:eastAsia="en-AU"/>
              </w:rPr>
              <w:t>17</w:t>
            </w:r>
          </w:p>
        </w:tc>
      </w:tr>
      <w:tr w:rsidR="00F60B5F" w:rsidRPr="00A566BE" w:rsidTr="00A566BE">
        <w:trPr>
          <w:cantSplit/>
        </w:trPr>
        <w:tc>
          <w:tcPr>
            <w:tcW w:w="2810" w:type="dxa"/>
            <w:tcBorders>
              <w:top w:val="nil"/>
              <w:left w:val="single" w:sz="4" w:space="0" w:color="auto"/>
              <w:bottom w:val="single" w:sz="4" w:space="0" w:color="auto"/>
              <w:right w:val="nil"/>
            </w:tcBorders>
            <w:shd w:val="clear" w:color="auto" w:fill="000000"/>
          </w:tcPr>
          <w:p w:rsidR="00F60B5F" w:rsidRPr="00A566BE" w:rsidRDefault="00F60B5F" w:rsidP="00A566BE">
            <w:pPr>
              <w:pStyle w:val="Tabletext"/>
              <w:rPr>
                <w:rFonts w:eastAsiaTheme="minorEastAsia"/>
                <w:sz w:val="19"/>
                <w:lang w:eastAsia="en-AU"/>
              </w:rPr>
            </w:pPr>
            <w:r w:rsidRPr="00A566BE">
              <w:rPr>
                <w:rFonts w:eastAsiaTheme="minorEastAsia"/>
                <w:sz w:val="19"/>
                <w:lang w:eastAsia="en-AU"/>
              </w:rPr>
              <w:t xml:space="preserve"> </w:t>
            </w:r>
          </w:p>
        </w:tc>
        <w:tc>
          <w:tcPr>
            <w:tcW w:w="994" w:type="dxa"/>
            <w:gridSpan w:val="2"/>
            <w:tcBorders>
              <w:top w:val="nil"/>
              <w:left w:val="nil"/>
              <w:bottom w:val="single" w:sz="4" w:space="0" w:color="auto"/>
              <w:right w:val="nil"/>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Actual</w:t>
            </w:r>
          </w:p>
        </w:tc>
        <w:tc>
          <w:tcPr>
            <w:tcW w:w="993" w:type="dxa"/>
            <w:tcBorders>
              <w:top w:val="nil"/>
              <w:left w:val="nil"/>
              <w:bottom w:val="single" w:sz="4" w:space="0" w:color="auto"/>
              <w:right w:val="nil"/>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Revised</w:t>
            </w:r>
          </w:p>
        </w:tc>
        <w:tc>
          <w:tcPr>
            <w:tcW w:w="993" w:type="dxa"/>
            <w:tcBorders>
              <w:top w:val="nil"/>
              <w:left w:val="nil"/>
              <w:bottom w:val="single" w:sz="4" w:space="0" w:color="auto"/>
              <w:right w:val="nil"/>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Estimate</w:t>
            </w:r>
          </w:p>
        </w:tc>
        <w:tc>
          <w:tcPr>
            <w:tcW w:w="993" w:type="dxa"/>
            <w:tcBorders>
              <w:top w:val="nil"/>
              <w:left w:val="nil"/>
              <w:bottom w:val="single" w:sz="4" w:space="0" w:color="auto"/>
              <w:right w:val="nil"/>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Estimate</w:t>
            </w:r>
          </w:p>
        </w:tc>
        <w:tc>
          <w:tcPr>
            <w:tcW w:w="993" w:type="dxa"/>
            <w:tcBorders>
              <w:top w:val="nil"/>
              <w:left w:val="nil"/>
              <w:bottom w:val="single" w:sz="4" w:space="0" w:color="auto"/>
              <w:right w:val="single" w:sz="4" w:space="0" w:color="auto"/>
            </w:tcBorders>
            <w:shd w:val="clear" w:color="auto" w:fill="000000"/>
          </w:tcPr>
          <w:p w:rsidR="00F60B5F" w:rsidRPr="00A566BE" w:rsidRDefault="00F60B5F" w:rsidP="00A566BE">
            <w:pPr>
              <w:pStyle w:val="Tabletextheading"/>
              <w:rPr>
                <w:rFonts w:eastAsiaTheme="minorEastAsia"/>
                <w:sz w:val="19"/>
                <w:lang w:eastAsia="en-AU"/>
              </w:rPr>
            </w:pPr>
            <w:r w:rsidRPr="00A566BE">
              <w:rPr>
                <w:rFonts w:eastAsiaTheme="minorEastAsia"/>
                <w:sz w:val="19"/>
                <w:lang w:eastAsia="en-AU"/>
              </w:rPr>
              <w:t>Estimate</w:t>
            </w:r>
          </w:p>
        </w:tc>
      </w:tr>
      <w:tr w:rsidR="00F60B5F" w:rsidRPr="00A566BE" w:rsidTr="00A566BE">
        <w:trPr>
          <w:cantSplit/>
        </w:trPr>
        <w:tc>
          <w:tcPr>
            <w:tcW w:w="2810" w:type="dxa"/>
            <w:tcBorders>
              <w:top w:val="single" w:sz="4" w:space="0" w:color="auto"/>
              <w:left w:val="nil"/>
              <w:bottom w:val="nil"/>
              <w:right w:val="nil"/>
            </w:tcBorders>
          </w:tcPr>
          <w:p w:rsidR="00F60B5F" w:rsidRPr="00A566BE" w:rsidRDefault="00F60B5F" w:rsidP="00A566BE">
            <w:pPr>
              <w:pStyle w:val="Tabletext"/>
              <w:rPr>
                <w:rFonts w:eastAsiaTheme="minorEastAsia"/>
                <w:b/>
                <w:bCs/>
                <w:color w:val="000000"/>
                <w:sz w:val="19"/>
                <w:lang w:eastAsia="en-AU"/>
              </w:rPr>
            </w:pPr>
            <w:r w:rsidRPr="00A566BE">
              <w:rPr>
                <w:rFonts w:eastAsiaTheme="minorEastAsia"/>
                <w:b/>
                <w:bCs/>
                <w:color w:val="000000"/>
                <w:sz w:val="19"/>
                <w:lang w:eastAsia="en-AU"/>
              </w:rPr>
              <w:t>Net result from transactions</w:t>
            </w:r>
          </w:p>
        </w:tc>
        <w:tc>
          <w:tcPr>
            <w:tcW w:w="994" w:type="dxa"/>
            <w:gridSpan w:val="2"/>
            <w:tcBorders>
              <w:top w:val="single" w:sz="4" w:space="0" w:color="auto"/>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 xml:space="preserve"> 316.4</w:t>
            </w:r>
          </w:p>
        </w:tc>
        <w:tc>
          <w:tcPr>
            <w:tcW w:w="993" w:type="dxa"/>
            <w:tcBorders>
              <w:top w:val="single" w:sz="4" w:space="0" w:color="auto"/>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 xml:space="preserve"> 221.8</w:t>
            </w:r>
          </w:p>
        </w:tc>
        <w:tc>
          <w:tcPr>
            <w:tcW w:w="993" w:type="dxa"/>
            <w:tcBorders>
              <w:top w:val="single" w:sz="4" w:space="0" w:color="auto"/>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 xml:space="preserve"> 911.0</w:t>
            </w:r>
          </w:p>
        </w:tc>
        <w:tc>
          <w:tcPr>
            <w:tcW w:w="993" w:type="dxa"/>
            <w:tcBorders>
              <w:top w:val="single" w:sz="4" w:space="0" w:color="auto"/>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2 051.5</w:t>
            </w:r>
          </w:p>
        </w:tc>
        <w:tc>
          <w:tcPr>
            <w:tcW w:w="993" w:type="dxa"/>
            <w:tcBorders>
              <w:top w:val="single" w:sz="4" w:space="0" w:color="auto"/>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2 718.9</w:t>
            </w:r>
          </w:p>
        </w:tc>
      </w:tr>
      <w:tr w:rsidR="00F60B5F" w:rsidRPr="00A566BE" w:rsidTr="00A566BE">
        <w:trPr>
          <w:cantSplit/>
        </w:trPr>
        <w:tc>
          <w:tcPr>
            <w:tcW w:w="2810" w:type="dxa"/>
            <w:tcBorders>
              <w:top w:val="nil"/>
              <w:left w:val="nil"/>
              <w:bottom w:val="single" w:sz="6" w:space="0" w:color="auto"/>
              <w:right w:val="nil"/>
            </w:tcBorders>
          </w:tcPr>
          <w:p w:rsidR="00F60B5F" w:rsidRPr="00A566BE" w:rsidRDefault="00F60B5F" w:rsidP="00A566BE">
            <w:pPr>
              <w:pStyle w:val="Tabletext"/>
              <w:rPr>
                <w:rFonts w:eastAsiaTheme="minorEastAsia"/>
                <w:color w:val="000000"/>
                <w:sz w:val="19"/>
                <w:vertAlign w:val="superscript"/>
                <w:lang w:eastAsia="en-AU"/>
              </w:rPr>
            </w:pPr>
            <w:r w:rsidRPr="00A566BE">
              <w:rPr>
                <w:rFonts w:eastAsiaTheme="minorEastAsia"/>
                <w:color w:val="000000"/>
                <w:sz w:val="19"/>
                <w:lang w:eastAsia="en-AU"/>
              </w:rPr>
              <w:t>Add back: non</w:t>
            </w:r>
            <w:r>
              <w:rPr>
                <w:rFonts w:eastAsiaTheme="minorEastAsia"/>
                <w:color w:val="000000"/>
                <w:sz w:val="19"/>
                <w:lang w:eastAsia="en-AU"/>
              </w:rPr>
              <w:noBreakHyphen/>
            </w:r>
            <w:r w:rsidRPr="00A566BE">
              <w:rPr>
                <w:rFonts w:eastAsiaTheme="minorEastAsia"/>
                <w:color w:val="000000"/>
                <w:sz w:val="19"/>
                <w:lang w:eastAsia="en-AU"/>
              </w:rPr>
              <w:t xml:space="preserve">cash revenue and expenses (net) </w:t>
            </w:r>
            <w:r w:rsidRPr="00A566BE">
              <w:rPr>
                <w:rFonts w:eastAsiaTheme="minorEastAsia"/>
                <w:color w:val="000000"/>
                <w:sz w:val="19"/>
                <w:vertAlign w:val="superscript"/>
                <w:lang w:eastAsia="en-AU"/>
              </w:rPr>
              <w:t>(a)</w:t>
            </w:r>
          </w:p>
        </w:tc>
        <w:tc>
          <w:tcPr>
            <w:tcW w:w="994" w:type="dxa"/>
            <w:gridSpan w:val="2"/>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1 375.9</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2 351.5</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2 456.3</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2 596.4</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2 450.0</w:t>
            </w:r>
          </w:p>
        </w:tc>
      </w:tr>
      <w:tr w:rsidR="00F60B5F" w:rsidRPr="00A566BE" w:rsidTr="00A566BE">
        <w:trPr>
          <w:cantSplit/>
        </w:trPr>
        <w:tc>
          <w:tcPr>
            <w:tcW w:w="2810" w:type="dxa"/>
            <w:tcBorders>
              <w:top w:val="single" w:sz="6" w:space="0" w:color="auto"/>
              <w:left w:val="nil"/>
              <w:bottom w:val="nil"/>
              <w:right w:val="nil"/>
            </w:tcBorders>
          </w:tcPr>
          <w:p w:rsidR="00F60B5F" w:rsidRPr="00A566BE" w:rsidRDefault="00F60B5F" w:rsidP="00A566BE">
            <w:pPr>
              <w:pStyle w:val="Tabletext"/>
              <w:rPr>
                <w:rFonts w:eastAsiaTheme="minorEastAsia"/>
                <w:b/>
                <w:bCs/>
                <w:color w:val="000000"/>
                <w:sz w:val="19"/>
                <w:lang w:eastAsia="en-AU"/>
              </w:rPr>
            </w:pPr>
            <w:r w:rsidRPr="00A566BE">
              <w:rPr>
                <w:rFonts w:eastAsiaTheme="minorEastAsia"/>
                <w:b/>
                <w:bCs/>
                <w:color w:val="000000"/>
                <w:sz w:val="19"/>
                <w:lang w:eastAsia="en-AU"/>
              </w:rPr>
              <w:t xml:space="preserve">Net cash flows from operating activities </w:t>
            </w:r>
          </w:p>
        </w:tc>
        <w:tc>
          <w:tcPr>
            <w:tcW w:w="994" w:type="dxa"/>
            <w:gridSpan w:val="2"/>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1 692.3</w:t>
            </w:r>
          </w:p>
        </w:tc>
        <w:tc>
          <w:tcPr>
            <w:tcW w:w="993" w:type="dxa"/>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2 573.2</w:t>
            </w:r>
          </w:p>
        </w:tc>
        <w:tc>
          <w:tcPr>
            <w:tcW w:w="993" w:type="dxa"/>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3 367.3</w:t>
            </w:r>
          </w:p>
        </w:tc>
        <w:tc>
          <w:tcPr>
            <w:tcW w:w="993" w:type="dxa"/>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4 647.8</w:t>
            </w:r>
          </w:p>
        </w:tc>
        <w:tc>
          <w:tcPr>
            <w:tcW w:w="993" w:type="dxa"/>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5 168.9</w:t>
            </w:r>
          </w:p>
        </w:tc>
      </w:tr>
      <w:tr w:rsidR="00F60B5F" w:rsidRPr="00A566BE" w:rsidTr="00A566BE">
        <w:trPr>
          <w:cantSplit/>
        </w:trPr>
        <w:tc>
          <w:tcPr>
            <w:tcW w:w="2810" w:type="dxa"/>
            <w:tcBorders>
              <w:top w:val="nil"/>
              <w:left w:val="nil"/>
              <w:bottom w:val="nil"/>
              <w:right w:val="nil"/>
            </w:tcBorders>
          </w:tcPr>
          <w:p w:rsidR="00F60B5F" w:rsidRPr="00A566BE" w:rsidRDefault="00F60B5F" w:rsidP="00A566BE">
            <w:pPr>
              <w:pStyle w:val="Tabletext"/>
              <w:rPr>
                <w:rFonts w:eastAsiaTheme="minorEastAsia"/>
                <w:color w:val="000000"/>
                <w:sz w:val="19"/>
                <w:lang w:eastAsia="en-AU"/>
              </w:rPr>
            </w:pPr>
            <w:r w:rsidRPr="00A566BE">
              <w:rPr>
                <w:rFonts w:eastAsiaTheme="minorEastAsia"/>
                <w:color w:val="000000"/>
                <w:sz w:val="19"/>
                <w:lang w:eastAsia="en-AU"/>
              </w:rPr>
              <w:t>Less:</w:t>
            </w:r>
          </w:p>
        </w:tc>
        <w:tc>
          <w:tcPr>
            <w:tcW w:w="994" w:type="dxa"/>
            <w:gridSpan w:val="2"/>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szCs w:val="22"/>
                <w:lang w:eastAsia="en-AU"/>
              </w:rPr>
            </w:pPr>
          </w:p>
        </w:tc>
      </w:tr>
      <w:tr w:rsidR="00F60B5F" w:rsidRPr="00A566BE" w:rsidTr="00A566BE">
        <w:trPr>
          <w:cantSplit/>
        </w:trPr>
        <w:tc>
          <w:tcPr>
            <w:tcW w:w="2810" w:type="dxa"/>
            <w:tcBorders>
              <w:top w:val="nil"/>
              <w:left w:val="nil"/>
              <w:bottom w:val="nil"/>
              <w:right w:val="nil"/>
            </w:tcBorders>
          </w:tcPr>
          <w:p w:rsidR="00F60B5F" w:rsidRPr="00A566BE" w:rsidRDefault="00F60B5F" w:rsidP="00A566BE">
            <w:pPr>
              <w:pStyle w:val="Tabletext"/>
              <w:rPr>
                <w:rFonts w:eastAsiaTheme="minorEastAsia"/>
                <w:b/>
                <w:bCs/>
                <w:color w:val="000000"/>
                <w:sz w:val="19"/>
                <w:lang w:eastAsia="en-AU"/>
              </w:rPr>
            </w:pPr>
            <w:r w:rsidRPr="00A566BE">
              <w:rPr>
                <w:rFonts w:eastAsiaTheme="minorEastAsia"/>
                <w:b/>
                <w:bCs/>
                <w:color w:val="000000"/>
                <w:sz w:val="19"/>
                <w:lang w:eastAsia="en-AU"/>
              </w:rPr>
              <w:t>Net investment in fixed assets</w:t>
            </w:r>
          </w:p>
        </w:tc>
        <w:tc>
          <w:tcPr>
            <w:tcW w:w="994" w:type="dxa"/>
            <w:gridSpan w:val="2"/>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 xml:space="preserve"> </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szCs w:val="22"/>
                <w:lang w:eastAsia="en-AU"/>
              </w:rPr>
            </w:pPr>
          </w:p>
        </w:tc>
      </w:tr>
      <w:tr w:rsidR="00F60B5F" w:rsidRPr="00A566BE" w:rsidTr="00A566BE">
        <w:trPr>
          <w:cantSplit/>
        </w:trPr>
        <w:tc>
          <w:tcPr>
            <w:tcW w:w="2810" w:type="dxa"/>
            <w:tcBorders>
              <w:top w:val="nil"/>
              <w:left w:val="nil"/>
              <w:bottom w:val="nil"/>
              <w:right w:val="nil"/>
            </w:tcBorders>
          </w:tcPr>
          <w:p w:rsidR="00F60B5F" w:rsidRPr="00A566BE" w:rsidRDefault="00F60B5F" w:rsidP="00A566BE">
            <w:pPr>
              <w:pStyle w:val="Tabletext"/>
              <w:rPr>
                <w:rFonts w:eastAsiaTheme="minorEastAsia"/>
                <w:color w:val="000000"/>
                <w:sz w:val="19"/>
                <w:lang w:eastAsia="en-AU"/>
              </w:rPr>
            </w:pPr>
            <w:r w:rsidRPr="00A566BE">
              <w:rPr>
                <w:rFonts w:eastAsiaTheme="minorEastAsia"/>
                <w:color w:val="000000"/>
                <w:sz w:val="19"/>
                <w:lang w:eastAsia="en-AU"/>
              </w:rPr>
              <w:t>Purchases of non</w:t>
            </w:r>
            <w:r>
              <w:rPr>
                <w:rFonts w:eastAsiaTheme="minorEastAsia"/>
                <w:color w:val="000000"/>
                <w:sz w:val="19"/>
                <w:lang w:eastAsia="en-AU"/>
              </w:rPr>
              <w:noBreakHyphen/>
            </w:r>
            <w:r w:rsidRPr="00A566BE">
              <w:rPr>
                <w:rFonts w:eastAsiaTheme="minorEastAsia"/>
                <w:color w:val="000000"/>
                <w:sz w:val="19"/>
                <w:lang w:eastAsia="en-AU"/>
              </w:rPr>
              <w:t>financial assets</w:t>
            </w:r>
          </w:p>
        </w:tc>
        <w:tc>
          <w:tcPr>
            <w:tcW w:w="994" w:type="dxa"/>
            <w:gridSpan w:val="2"/>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4 133.2</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4 185.2</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4 225.0</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2 668.0</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3 377.1</w:t>
            </w:r>
          </w:p>
        </w:tc>
      </w:tr>
      <w:tr w:rsidR="00F60B5F" w:rsidRPr="00A566BE" w:rsidTr="00A566BE">
        <w:trPr>
          <w:cantSplit/>
        </w:trPr>
        <w:tc>
          <w:tcPr>
            <w:tcW w:w="2984" w:type="dxa"/>
            <w:gridSpan w:val="2"/>
            <w:tcBorders>
              <w:top w:val="nil"/>
              <w:left w:val="nil"/>
              <w:bottom w:val="nil"/>
              <w:right w:val="nil"/>
            </w:tcBorders>
          </w:tcPr>
          <w:p w:rsidR="00F60B5F" w:rsidRPr="00A566BE" w:rsidRDefault="00F60B5F" w:rsidP="00A566BE">
            <w:pPr>
              <w:pStyle w:val="Tabletext"/>
              <w:rPr>
                <w:rFonts w:eastAsiaTheme="minorEastAsia"/>
                <w:color w:val="000000"/>
                <w:sz w:val="19"/>
                <w:lang w:eastAsia="en-AU"/>
              </w:rPr>
            </w:pPr>
            <w:r w:rsidRPr="00A566BE">
              <w:rPr>
                <w:rFonts w:eastAsiaTheme="minorEastAsia"/>
                <w:color w:val="000000"/>
                <w:sz w:val="19"/>
                <w:lang w:eastAsia="en-AU"/>
              </w:rPr>
              <w:t>Net cash flows from investments in financial assets for policy purposes</w:t>
            </w:r>
          </w:p>
        </w:tc>
        <w:tc>
          <w:tcPr>
            <w:tcW w:w="820"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1 316.8</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1 526.6</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1 388.8</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39.7</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94.9</w:t>
            </w:r>
          </w:p>
        </w:tc>
      </w:tr>
      <w:tr w:rsidR="00F60B5F" w:rsidRPr="00A566BE" w:rsidTr="00A566BE">
        <w:trPr>
          <w:cantSplit/>
        </w:trPr>
        <w:tc>
          <w:tcPr>
            <w:tcW w:w="2810" w:type="dxa"/>
            <w:tcBorders>
              <w:top w:val="nil"/>
              <w:left w:val="nil"/>
              <w:bottom w:val="nil"/>
              <w:right w:val="nil"/>
            </w:tcBorders>
          </w:tcPr>
          <w:p w:rsidR="00F60B5F" w:rsidRPr="00A566BE" w:rsidRDefault="00F60B5F" w:rsidP="00A566BE">
            <w:pPr>
              <w:pStyle w:val="Tabletext"/>
              <w:rPr>
                <w:rFonts w:eastAsiaTheme="minorEastAsia"/>
                <w:color w:val="000000"/>
                <w:sz w:val="19"/>
                <w:vertAlign w:val="superscript"/>
                <w:lang w:eastAsia="en-AU"/>
              </w:rPr>
            </w:pPr>
            <w:r w:rsidRPr="00A566BE">
              <w:rPr>
                <w:rFonts w:eastAsiaTheme="minorEastAsia"/>
                <w:color w:val="000000"/>
                <w:sz w:val="19"/>
                <w:lang w:eastAsia="en-AU"/>
              </w:rPr>
              <w:t xml:space="preserve">Capital provision approved but not yet allocated </w:t>
            </w:r>
            <w:r w:rsidRPr="00A566BE">
              <w:rPr>
                <w:rFonts w:eastAsiaTheme="minorEastAsia"/>
                <w:color w:val="000000"/>
                <w:sz w:val="19"/>
                <w:vertAlign w:val="superscript"/>
                <w:lang w:eastAsia="en-AU"/>
              </w:rPr>
              <w:t>(b)</w:t>
            </w:r>
          </w:p>
        </w:tc>
        <w:tc>
          <w:tcPr>
            <w:tcW w:w="994" w:type="dxa"/>
            <w:gridSpan w:val="2"/>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164.5</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428.8</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734.1</w:t>
            </w:r>
          </w:p>
        </w:tc>
      </w:tr>
      <w:tr w:rsidR="00F60B5F" w:rsidRPr="00A566BE" w:rsidTr="00A566BE">
        <w:trPr>
          <w:cantSplit/>
        </w:trPr>
        <w:tc>
          <w:tcPr>
            <w:tcW w:w="2810" w:type="dxa"/>
            <w:tcBorders>
              <w:top w:val="nil"/>
              <w:left w:val="nil"/>
              <w:bottom w:val="nil"/>
              <w:right w:val="nil"/>
            </w:tcBorders>
          </w:tcPr>
          <w:p w:rsidR="00F60B5F" w:rsidRPr="00A566BE" w:rsidRDefault="00F60B5F" w:rsidP="00A566BE">
            <w:pPr>
              <w:pStyle w:val="Tabletext"/>
              <w:rPr>
                <w:rFonts w:eastAsiaTheme="minorEastAsia"/>
                <w:color w:val="000000"/>
                <w:sz w:val="19"/>
                <w:lang w:eastAsia="en-AU"/>
              </w:rPr>
            </w:pPr>
            <w:r w:rsidRPr="00A566BE">
              <w:rPr>
                <w:rFonts w:eastAsiaTheme="minorEastAsia"/>
                <w:color w:val="000000"/>
                <w:sz w:val="19"/>
                <w:lang w:eastAsia="en-AU"/>
              </w:rPr>
              <w:t>Proceeds from asset sales</w:t>
            </w:r>
          </w:p>
        </w:tc>
        <w:tc>
          <w:tcPr>
            <w:tcW w:w="994" w:type="dxa"/>
            <w:gridSpan w:val="2"/>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( 248.0)</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( 407.7)</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( 419.3)</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( 485.8)</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( 445.2)</w:t>
            </w:r>
          </w:p>
        </w:tc>
      </w:tr>
      <w:tr w:rsidR="00F60B5F" w:rsidRPr="00A566BE" w:rsidTr="00A566BE">
        <w:trPr>
          <w:cantSplit/>
        </w:trPr>
        <w:tc>
          <w:tcPr>
            <w:tcW w:w="2810" w:type="dxa"/>
            <w:tcBorders>
              <w:top w:val="single" w:sz="6" w:space="0" w:color="auto"/>
              <w:left w:val="nil"/>
              <w:bottom w:val="nil"/>
              <w:right w:val="nil"/>
            </w:tcBorders>
          </w:tcPr>
          <w:p w:rsidR="00F60B5F" w:rsidRPr="00A566BE" w:rsidRDefault="00F60B5F" w:rsidP="00A566BE">
            <w:pPr>
              <w:pStyle w:val="Tabletext"/>
              <w:rPr>
                <w:rFonts w:eastAsiaTheme="minorEastAsia"/>
                <w:b/>
                <w:bCs/>
                <w:color w:val="000000"/>
                <w:sz w:val="19"/>
                <w:vertAlign w:val="superscript"/>
                <w:lang w:eastAsia="en-AU"/>
              </w:rPr>
            </w:pPr>
            <w:r w:rsidRPr="00A566BE">
              <w:rPr>
                <w:rFonts w:eastAsiaTheme="minorEastAsia"/>
                <w:b/>
                <w:bCs/>
                <w:color w:val="000000"/>
                <w:sz w:val="19"/>
                <w:lang w:eastAsia="en-AU"/>
              </w:rPr>
              <w:t xml:space="preserve">Total net investment in fixed assets </w:t>
            </w:r>
            <w:r w:rsidRPr="009F58D6">
              <w:rPr>
                <w:rFonts w:eastAsiaTheme="minorEastAsia"/>
                <w:bCs/>
                <w:color w:val="000000"/>
                <w:sz w:val="19"/>
                <w:vertAlign w:val="superscript"/>
                <w:lang w:eastAsia="en-AU"/>
              </w:rPr>
              <w:t>(c)</w:t>
            </w:r>
          </w:p>
        </w:tc>
        <w:tc>
          <w:tcPr>
            <w:tcW w:w="994" w:type="dxa"/>
            <w:gridSpan w:val="2"/>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5 202.0</w:t>
            </w:r>
          </w:p>
        </w:tc>
        <w:tc>
          <w:tcPr>
            <w:tcW w:w="993" w:type="dxa"/>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5 304.2</w:t>
            </w:r>
          </w:p>
        </w:tc>
        <w:tc>
          <w:tcPr>
            <w:tcW w:w="993" w:type="dxa"/>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5 358.9</w:t>
            </w:r>
          </w:p>
        </w:tc>
        <w:tc>
          <w:tcPr>
            <w:tcW w:w="993" w:type="dxa"/>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2 650.7</w:t>
            </w:r>
          </w:p>
        </w:tc>
        <w:tc>
          <w:tcPr>
            <w:tcW w:w="993" w:type="dxa"/>
            <w:tcBorders>
              <w:top w:val="nil"/>
              <w:left w:val="nil"/>
              <w:bottom w:val="nil"/>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3 760.8</w:t>
            </w:r>
          </w:p>
        </w:tc>
      </w:tr>
      <w:tr w:rsidR="00F60B5F" w:rsidRPr="00A566BE" w:rsidTr="00A566BE">
        <w:trPr>
          <w:cantSplit/>
        </w:trPr>
        <w:tc>
          <w:tcPr>
            <w:tcW w:w="2810" w:type="dxa"/>
            <w:tcBorders>
              <w:top w:val="nil"/>
              <w:left w:val="nil"/>
              <w:bottom w:val="nil"/>
              <w:right w:val="nil"/>
            </w:tcBorders>
          </w:tcPr>
          <w:p w:rsidR="00F60B5F" w:rsidRPr="00A566BE" w:rsidRDefault="00F60B5F" w:rsidP="00A566BE">
            <w:pPr>
              <w:pStyle w:val="Tabletext"/>
              <w:rPr>
                <w:rFonts w:eastAsiaTheme="minorEastAsia"/>
                <w:color w:val="000000"/>
                <w:sz w:val="19"/>
                <w:vertAlign w:val="superscript"/>
                <w:lang w:eastAsia="en-AU"/>
              </w:rPr>
            </w:pPr>
            <w:r w:rsidRPr="00A566BE">
              <w:rPr>
                <w:rFonts w:eastAsiaTheme="minorEastAsia"/>
                <w:color w:val="000000"/>
                <w:sz w:val="19"/>
                <w:lang w:eastAsia="en-AU"/>
              </w:rPr>
              <w:t xml:space="preserve">Finance leases </w:t>
            </w:r>
            <w:r w:rsidRPr="00A566BE">
              <w:rPr>
                <w:rFonts w:eastAsiaTheme="minorEastAsia"/>
                <w:color w:val="000000"/>
                <w:sz w:val="19"/>
                <w:vertAlign w:val="superscript"/>
                <w:lang w:eastAsia="en-AU"/>
              </w:rPr>
              <w:t>(d)</w:t>
            </w:r>
          </w:p>
        </w:tc>
        <w:tc>
          <w:tcPr>
            <w:tcW w:w="994" w:type="dxa"/>
            <w:gridSpan w:val="2"/>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1 064.8</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111.0</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36.4</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1 050.4</w:t>
            </w:r>
          </w:p>
        </w:tc>
        <w:tc>
          <w:tcPr>
            <w:tcW w:w="993" w:type="dxa"/>
            <w:tcBorders>
              <w:top w:val="nil"/>
              <w:left w:val="nil"/>
              <w:bottom w:val="nil"/>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279.3</w:t>
            </w:r>
          </w:p>
        </w:tc>
      </w:tr>
      <w:tr w:rsidR="00F60B5F" w:rsidRPr="00A566BE" w:rsidTr="00A566BE">
        <w:trPr>
          <w:cantSplit/>
        </w:trPr>
        <w:tc>
          <w:tcPr>
            <w:tcW w:w="2810" w:type="dxa"/>
            <w:tcBorders>
              <w:top w:val="nil"/>
              <w:left w:val="nil"/>
              <w:bottom w:val="single" w:sz="6" w:space="0" w:color="auto"/>
              <w:right w:val="nil"/>
            </w:tcBorders>
          </w:tcPr>
          <w:p w:rsidR="00F60B5F" w:rsidRPr="00A566BE" w:rsidRDefault="00F60B5F" w:rsidP="00A566BE">
            <w:pPr>
              <w:pStyle w:val="Tabletext"/>
              <w:rPr>
                <w:rFonts w:eastAsiaTheme="minorEastAsia"/>
                <w:color w:val="000000"/>
                <w:sz w:val="19"/>
                <w:lang w:eastAsia="en-AU"/>
              </w:rPr>
            </w:pPr>
            <w:r w:rsidRPr="00A566BE">
              <w:rPr>
                <w:rFonts w:eastAsiaTheme="minorEastAsia"/>
                <w:color w:val="000000"/>
                <w:sz w:val="19"/>
                <w:lang w:eastAsia="en-AU"/>
              </w:rPr>
              <w:t>Other investment activities (net)</w:t>
            </w:r>
          </w:p>
        </w:tc>
        <w:tc>
          <w:tcPr>
            <w:tcW w:w="994" w:type="dxa"/>
            <w:gridSpan w:val="2"/>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10.7</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38.9</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51.3</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57.6</w:t>
            </w:r>
          </w:p>
        </w:tc>
        <w:tc>
          <w:tcPr>
            <w:tcW w:w="993" w:type="dxa"/>
            <w:tcBorders>
              <w:top w:val="nil"/>
              <w:left w:val="nil"/>
              <w:bottom w:val="single" w:sz="6" w:space="0" w:color="auto"/>
              <w:right w:val="nil"/>
            </w:tcBorders>
          </w:tcPr>
          <w:p w:rsidR="00F60B5F" w:rsidRPr="00A566BE" w:rsidRDefault="00F60B5F" w:rsidP="00A566BE">
            <w:pPr>
              <w:pStyle w:val="TableofFigures"/>
              <w:rPr>
                <w:rFonts w:eastAsiaTheme="minorEastAsia"/>
                <w:color w:val="000000"/>
                <w:sz w:val="19"/>
                <w:lang w:eastAsia="en-AU"/>
              </w:rPr>
            </w:pPr>
            <w:r w:rsidRPr="00A566BE">
              <w:rPr>
                <w:rFonts w:eastAsiaTheme="minorEastAsia"/>
                <w:color w:val="000000"/>
                <w:sz w:val="19"/>
                <w:lang w:eastAsia="en-AU"/>
              </w:rPr>
              <w:t xml:space="preserve"> 29.4</w:t>
            </w:r>
          </w:p>
        </w:tc>
      </w:tr>
      <w:tr w:rsidR="00F60B5F" w:rsidRPr="00A566BE" w:rsidTr="00A566BE">
        <w:trPr>
          <w:cantSplit/>
        </w:trPr>
        <w:tc>
          <w:tcPr>
            <w:tcW w:w="2810" w:type="dxa"/>
            <w:tcBorders>
              <w:top w:val="single" w:sz="6" w:space="0" w:color="auto"/>
              <w:left w:val="nil"/>
              <w:bottom w:val="single" w:sz="12" w:space="0" w:color="auto"/>
              <w:right w:val="nil"/>
            </w:tcBorders>
          </w:tcPr>
          <w:p w:rsidR="00F60B5F" w:rsidRPr="00A566BE" w:rsidRDefault="00F60B5F" w:rsidP="00A566BE">
            <w:pPr>
              <w:pStyle w:val="Tabletext"/>
              <w:rPr>
                <w:rFonts w:eastAsiaTheme="minorEastAsia"/>
                <w:b/>
                <w:bCs/>
                <w:color w:val="000000"/>
                <w:sz w:val="19"/>
                <w:lang w:eastAsia="en-AU"/>
              </w:rPr>
            </w:pPr>
            <w:r w:rsidRPr="00A566BE">
              <w:rPr>
                <w:rFonts w:eastAsiaTheme="minorEastAsia"/>
                <w:b/>
                <w:bCs/>
                <w:color w:val="000000"/>
                <w:sz w:val="19"/>
                <w:lang w:eastAsia="en-AU"/>
              </w:rPr>
              <w:t>Decrease/(increase) in net debt</w:t>
            </w:r>
          </w:p>
        </w:tc>
        <w:tc>
          <w:tcPr>
            <w:tcW w:w="994" w:type="dxa"/>
            <w:gridSpan w:val="2"/>
            <w:tcBorders>
              <w:top w:val="single" w:sz="6" w:space="0" w:color="auto"/>
              <w:left w:val="nil"/>
              <w:bottom w:val="single" w:sz="12" w:space="0" w:color="auto"/>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(4 585.2)</w:t>
            </w:r>
          </w:p>
        </w:tc>
        <w:tc>
          <w:tcPr>
            <w:tcW w:w="993" w:type="dxa"/>
            <w:tcBorders>
              <w:top w:val="single" w:sz="6" w:space="0" w:color="auto"/>
              <w:left w:val="nil"/>
              <w:bottom w:val="single" w:sz="12" w:space="0" w:color="auto"/>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(2 880.8)</w:t>
            </w:r>
          </w:p>
        </w:tc>
        <w:tc>
          <w:tcPr>
            <w:tcW w:w="993" w:type="dxa"/>
            <w:tcBorders>
              <w:top w:val="single" w:sz="6" w:space="0" w:color="auto"/>
              <w:left w:val="nil"/>
              <w:bottom w:val="single" w:sz="12" w:space="0" w:color="auto"/>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(2 079.3)</w:t>
            </w:r>
          </w:p>
        </w:tc>
        <w:tc>
          <w:tcPr>
            <w:tcW w:w="993" w:type="dxa"/>
            <w:tcBorders>
              <w:top w:val="single" w:sz="6" w:space="0" w:color="auto"/>
              <w:left w:val="nil"/>
              <w:bottom w:val="single" w:sz="12" w:space="0" w:color="auto"/>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 xml:space="preserve"> 889.1</w:t>
            </w:r>
          </w:p>
        </w:tc>
        <w:tc>
          <w:tcPr>
            <w:tcW w:w="993" w:type="dxa"/>
            <w:tcBorders>
              <w:top w:val="single" w:sz="6" w:space="0" w:color="auto"/>
              <w:left w:val="nil"/>
              <w:bottom w:val="single" w:sz="12" w:space="0" w:color="auto"/>
              <w:right w:val="nil"/>
            </w:tcBorders>
          </w:tcPr>
          <w:p w:rsidR="00F60B5F" w:rsidRPr="00A566BE" w:rsidRDefault="00F60B5F" w:rsidP="00A566BE">
            <w:pPr>
              <w:pStyle w:val="TableofFigures"/>
              <w:rPr>
                <w:rFonts w:eastAsiaTheme="minorEastAsia"/>
                <w:b/>
                <w:bCs/>
                <w:color w:val="000000"/>
                <w:sz w:val="19"/>
                <w:lang w:eastAsia="en-AU"/>
              </w:rPr>
            </w:pPr>
            <w:r w:rsidRPr="00A566BE">
              <w:rPr>
                <w:rFonts w:eastAsiaTheme="minorEastAsia"/>
                <w:b/>
                <w:bCs/>
                <w:color w:val="000000"/>
                <w:sz w:val="19"/>
                <w:lang w:eastAsia="en-AU"/>
              </w:rPr>
              <w:t>1 099.3</w:t>
            </w:r>
          </w:p>
        </w:tc>
      </w:tr>
    </w:tbl>
    <w:p w:rsidR="00F60B5F" w:rsidRPr="00D7423E" w:rsidRDefault="00F60B5F" w:rsidP="00CC4CE3">
      <w:pPr>
        <w:pStyle w:val="Source"/>
      </w:pPr>
      <w:r w:rsidRPr="00D7423E">
        <w:t>Source: Department of Treasury and Finance</w:t>
      </w:r>
    </w:p>
    <w:p w:rsidR="00F60B5F" w:rsidRPr="00D7423E" w:rsidRDefault="00F60B5F" w:rsidP="00CC4CE3">
      <w:pPr>
        <w:pStyle w:val="Notes"/>
      </w:pPr>
      <w:r w:rsidRPr="00D7423E">
        <w:t>Notes:</w:t>
      </w:r>
    </w:p>
    <w:p w:rsidR="00F60B5F" w:rsidRPr="00D7423E" w:rsidRDefault="00F60B5F" w:rsidP="00CC4CE3">
      <w:pPr>
        <w:pStyle w:val="Notes"/>
      </w:pPr>
      <w:r w:rsidRPr="00D7423E">
        <w:t>(a)</w:t>
      </w:r>
      <w:r w:rsidRPr="00D7423E">
        <w:tab/>
      </w:r>
      <w:r>
        <w:t>Includes depreciation, movements in the unfunded superannuation liability and liability for employee benefits.</w:t>
      </w:r>
    </w:p>
    <w:p w:rsidR="00F60B5F" w:rsidRPr="00D7423E" w:rsidRDefault="00F60B5F" w:rsidP="00CC4CE3">
      <w:pPr>
        <w:pStyle w:val="Notes"/>
      </w:pPr>
      <w:r w:rsidRPr="00D7423E">
        <w:t>(b)</w:t>
      </w:r>
      <w:r w:rsidRPr="00D7423E">
        <w:tab/>
      </w:r>
      <w:r>
        <w:t>Amount available to be allocated to specific departments and projects in future budgets including capital contributions to other sectors.</w:t>
      </w:r>
    </w:p>
    <w:p w:rsidR="00F60B5F" w:rsidRPr="00D7423E" w:rsidRDefault="00F60B5F" w:rsidP="00CC4CE3">
      <w:pPr>
        <w:pStyle w:val="Notes"/>
      </w:pPr>
      <w:r w:rsidRPr="00150589">
        <w:t>(c)</w:t>
      </w:r>
      <w:r w:rsidRPr="00150589">
        <w:tab/>
        <w:t>Includes total purchases</w:t>
      </w:r>
      <w:r>
        <w:t xml:space="preserve"> of property, plant and equipment, and capital contributions to other sectors of government net of proceeds from asset sales</w:t>
      </w:r>
      <w:r w:rsidRPr="00D7423E">
        <w:t>.</w:t>
      </w:r>
    </w:p>
    <w:p w:rsidR="00F60B5F" w:rsidRDefault="00F60B5F" w:rsidP="00CC4CE3">
      <w:pPr>
        <w:pStyle w:val="Notes"/>
      </w:pPr>
      <w:r w:rsidRPr="00C65D14">
        <w:t>(d)</w:t>
      </w:r>
      <w:r>
        <w:rPr>
          <w:i w:val="0"/>
        </w:rPr>
        <w:tab/>
      </w:r>
      <w:r>
        <w:t>The finance lease amount in 2012</w:t>
      </w:r>
      <w:r>
        <w:noBreakHyphen/>
        <w:t>13 relates to the Peninsula Link and Biosciences Research Centre projects and is net of the financing arrangements associated with the Victorian desalination plant project which forms part of the PNFC net debt</w:t>
      </w:r>
      <w:r w:rsidRPr="00D7423E">
        <w:t>.</w:t>
      </w:r>
      <w:r>
        <w:t xml:space="preserve"> The 2013</w:t>
      </w:r>
      <w:r>
        <w:noBreakHyphen/>
        <w:t>14 and 2014</w:t>
      </w:r>
      <w:r>
        <w:noBreakHyphen/>
        <w:t>15 estimates relate to the metropolitan Melbourne buses contract. The 2015</w:t>
      </w:r>
      <w:r>
        <w:noBreakHyphen/>
        <w:t>16 estimate relates to the Victorian Comprehensive Cancer Centre and the 2016</w:t>
      </w:r>
      <w:r>
        <w:noBreakHyphen/>
        <w:t xml:space="preserve">17 estimate relates to the new Bendigo Hospital project. </w:t>
      </w:r>
    </w:p>
    <w:p w:rsidR="00F60B5F" w:rsidRPr="00D7423E" w:rsidRDefault="00F60B5F" w:rsidP="00CC4CE3">
      <w:pPr>
        <w:pStyle w:val="Notes"/>
      </w:pPr>
    </w:p>
    <w:p w:rsidR="00F60B5F" w:rsidRPr="001D662A" w:rsidRDefault="00F60B5F" w:rsidP="00AA025D">
      <w:r>
        <w:t>By 2015</w:t>
      </w:r>
      <w:r>
        <w:noBreakHyphen/>
        <w:t>16, the State’s increasing cash surpluses are projected to be sufficient to fully fund infrastructure investment and begin repaying accumulated debt.</w:t>
      </w:r>
    </w:p>
    <w:p w:rsidR="00F60B5F" w:rsidRPr="001B43BE" w:rsidRDefault="00F60B5F" w:rsidP="0053393B">
      <w:r>
        <w:t xml:space="preserve">Total net </w:t>
      </w:r>
      <w:r w:rsidRPr="001B43BE">
        <w:t>investment in fixed assets is projected to be $5.3</w:t>
      </w:r>
      <w:r>
        <w:t> billion</w:t>
      </w:r>
      <w:r w:rsidRPr="001B43BE">
        <w:t xml:space="preserve"> in 2013</w:t>
      </w:r>
      <w:r>
        <w:noBreakHyphen/>
      </w:r>
      <w:r w:rsidRPr="001B43BE">
        <w:t>14 and $3.9</w:t>
      </w:r>
      <w:r>
        <w:t> billion</w:t>
      </w:r>
      <w:r w:rsidRPr="001B43BE">
        <w:t xml:space="preserve"> a year on average over the forward estimates period.</w:t>
      </w:r>
    </w:p>
    <w:p w:rsidR="00F60B5F" w:rsidRDefault="00F60B5F" w:rsidP="00CC4CE3">
      <w:r w:rsidRPr="001B43BE">
        <w:t>In add</w:t>
      </w:r>
      <w:r>
        <w:t>ition to net</w:t>
      </w:r>
      <w:r w:rsidRPr="001B43BE">
        <w:t xml:space="preserve"> investment</w:t>
      </w:r>
      <w:r>
        <w:t xml:space="preserve"> in fixed assets</w:t>
      </w:r>
      <w:r w:rsidRPr="001B43BE">
        <w:t xml:space="preserve">, the Government funds, facilitates and delivers infrastructure investment through </w:t>
      </w:r>
      <w:r w:rsidRPr="001B43BE">
        <w:rPr>
          <w:i/>
        </w:rPr>
        <w:t>Partnerships Victoria</w:t>
      </w:r>
      <w:r w:rsidRPr="001B43BE">
        <w:t xml:space="preserve"> (PV). These projects ar</w:t>
      </w:r>
      <w:r>
        <w:t>e not captured through the net</w:t>
      </w:r>
      <w:r w:rsidRPr="001B43BE">
        <w:t xml:space="preserve"> investment</w:t>
      </w:r>
      <w:r>
        <w:t xml:space="preserve"> in fixed assets</w:t>
      </w:r>
      <w:r w:rsidRPr="001B43BE">
        <w:t xml:space="preserve"> estimates. Total government funded infrastructure (government infrastructure investment) is projected to be $5.8</w:t>
      </w:r>
      <w:r>
        <w:t> billion</w:t>
      </w:r>
      <w:r w:rsidRPr="001B43BE">
        <w:t xml:space="preserve"> in 2013</w:t>
      </w:r>
      <w:r>
        <w:noBreakHyphen/>
      </w:r>
      <w:r w:rsidRPr="001B43BE">
        <w:t>14 and $5.0</w:t>
      </w:r>
      <w:r>
        <w:t> billion</w:t>
      </w:r>
      <w:r w:rsidRPr="001B43BE">
        <w:t xml:space="preserve"> a year on average over the forward estimates period. Government infrastructure investment is projected</w:t>
      </w:r>
      <w:r>
        <w:t xml:space="preserve"> to</w:t>
      </w:r>
      <w:r w:rsidRPr="00FB379F">
        <w:t xml:space="preserve"> </w:t>
      </w:r>
      <w:r>
        <w:t>be inline with</w:t>
      </w:r>
      <w:r w:rsidRPr="00FB379F">
        <w:t xml:space="preserve"> the medium</w:t>
      </w:r>
      <w:r>
        <w:noBreakHyphen/>
      </w:r>
      <w:r w:rsidRPr="00FB379F">
        <w:t xml:space="preserve">term infrastructure </w:t>
      </w:r>
      <w:r>
        <w:t>investment</w:t>
      </w:r>
      <w:r w:rsidRPr="00915A9C">
        <w:t xml:space="preserve"> </w:t>
      </w:r>
      <w:r>
        <w:t xml:space="preserve">parameter </w:t>
      </w:r>
      <w:r w:rsidRPr="00FB379F">
        <w:t>of 1.3</w:t>
      </w:r>
      <w:r>
        <w:t> per cent</w:t>
      </w:r>
      <w:r w:rsidRPr="00FB379F">
        <w:t xml:space="preserve"> of GSP as a rolling five</w:t>
      </w:r>
      <w:r>
        <w:noBreakHyphen/>
      </w:r>
      <w:r w:rsidRPr="00FB379F">
        <w:t>year average</w:t>
      </w:r>
      <w:r>
        <w:t xml:space="preserve">. </w:t>
      </w:r>
    </w:p>
    <w:p w:rsidR="00F60B5F" w:rsidRDefault="00F60B5F" w:rsidP="00CC4CE3">
      <w:pPr>
        <w:pStyle w:val="Heading2"/>
      </w:pPr>
      <w:r>
        <w:t>Net debt and net financial liabilities</w:t>
      </w:r>
    </w:p>
    <w:p w:rsidR="00F60B5F" w:rsidRDefault="00F60B5F" w:rsidP="00CC4CE3">
      <w:r>
        <w:t xml:space="preserve">The </w:t>
      </w:r>
      <w:r w:rsidRPr="005F4138">
        <w:rPr>
          <w:i/>
        </w:rPr>
        <w:t>2013</w:t>
      </w:r>
      <w:r>
        <w:rPr>
          <w:i/>
        </w:rPr>
        <w:noBreakHyphen/>
      </w:r>
      <w:r w:rsidRPr="005F4138">
        <w:rPr>
          <w:i/>
        </w:rPr>
        <w:t>14 Budget Update</w:t>
      </w:r>
      <w:r>
        <w:t xml:space="preserve"> continues to deliver on the Government’s commitment to contain and then reduce net debt, demonstrated by the forecast peak of net debt in June 2015 and subsequent decline. </w:t>
      </w:r>
    </w:p>
    <w:p w:rsidR="00F60B5F" w:rsidRPr="001B43BE" w:rsidRDefault="00F60B5F" w:rsidP="00CC4CE3">
      <w:r>
        <w:t xml:space="preserve">In line with </w:t>
      </w:r>
      <w:r w:rsidRPr="001B43BE">
        <w:t xml:space="preserve">estimates published in the </w:t>
      </w:r>
      <w:r w:rsidRPr="001B43BE">
        <w:rPr>
          <w:i/>
        </w:rPr>
        <w:t>2013</w:t>
      </w:r>
      <w:r>
        <w:rPr>
          <w:i/>
        </w:rPr>
        <w:noBreakHyphen/>
      </w:r>
      <w:r w:rsidRPr="001B43BE">
        <w:rPr>
          <w:i/>
        </w:rPr>
        <w:t>14 Budget</w:t>
      </w:r>
      <w:r w:rsidRPr="001B43BE">
        <w:t>, net debt is anticipated to decline in nominal terms and as a percentage of GSP from its June 2015 peak of $24.8</w:t>
      </w:r>
      <w:r>
        <w:t> billion</w:t>
      </w:r>
      <w:r w:rsidRPr="001B43BE">
        <w:t xml:space="preserve"> (6.7</w:t>
      </w:r>
      <w:r>
        <w:t> per cent</w:t>
      </w:r>
      <w:r w:rsidRPr="001B43BE">
        <w:t xml:space="preserve"> of GSP) to $22.8</w:t>
      </w:r>
      <w:r>
        <w:t> billion</w:t>
      </w:r>
      <w:r w:rsidRPr="001B43BE">
        <w:t xml:space="preserve"> (5.6</w:t>
      </w:r>
      <w:r>
        <w:t> per cent</w:t>
      </w:r>
      <w:r w:rsidRPr="001B43BE">
        <w:t xml:space="preserve"> of GSP) by June 2017.</w:t>
      </w:r>
    </w:p>
    <w:p w:rsidR="00F60B5F" w:rsidRDefault="00F60B5F" w:rsidP="00CC4CE3">
      <w:r w:rsidRPr="001B43BE">
        <w:t>Estimated net financial liabilities as a proportion of GSP are also forecast to decline, having peaked at 15.3</w:t>
      </w:r>
      <w:r>
        <w:t> per cent</w:t>
      </w:r>
      <w:r w:rsidRPr="001B43BE">
        <w:t xml:space="preserve"> at June 2013</w:t>
      </w:r>
      <w:r>
        <w:t>,</w:t>
      </w:r>
      <w:r w:rsidRPr="001B43BE">
        <w:t xml:space="preserve"> and are projected to steadily decline over the budget and forward estimates period. The Government remains committed to fully funding the unfunded superannuation liability</w:t>
      </w:r>
      <w:r>
        <w:t xml:space="preserve"> by 2035 and any changes in the superannuation liability that arise due to discount rate movements will not impact funding requirements.</w:t>
      </w:r>
    </w:p>
    <w:p w:rsidR="00F60B5F" w:rsidRDefault="00F60B5F" w:rsidP="00CC4CE3">
      <w:r>
        <w:t>The reported value of the State’s superannuation liability has been increasingly volatile over recent years, particularly during the global financial crisis. These variations primarily reflect movements in the discount rate that is required to be used to measure Victoria’s superannuation liability and does not affect the State’s cash position.</w:t>
      </w:r>
    </w:p>
    <w:p w:rsidR="00F60B5F" w:rsidRDefault="00F60B5F" w:rsidP="00CC4CE3">
      <w:pPr>
        <w:pStyle w:val="Chartheading"/>
        <w:rPr>
          <w:vertAlign w:val="superscript"/>
        </w:rPr>
      </w:pPr>
      <w:r>
        <w:t>Chart 3.2:</w:t>
      </w:r>
      <w:r>
        <w:tab/>
        <w:t>General government net financial liabilities as at 30 June</w:t>
      </w:r>
      <w:r w:rsidRPr="00182379">
        <w:rPr>
          <w:vertAlign w:val="superscript"/>
        </w:rPr>
        <w:t xml:space="preserve"> (a)</w:t>
      </w:r>
    </w:p>
    <w:p w:rsidR="00F60B5F" w:rsidRPr="00167733" w:rsidRDefault="005B6C02" w:rsidP="00167733">
      <w:pPr>
        <w:pStyle w:val="Chartpara"/>
      </w:pPr>
      <w:r>
        <w:pict>
          <v:shape id="_x0000_i1027" type="#_x0000_t75" style="width:379.85pt;height:261.35pt">
            <v:imagedata r:id="rId19" o:title=""/>
          </v:shape>
        </w:pict>
      </w:r>
    </w:p>
    <w:p w:rsidR="00F60B5F" w:rsidRDefault="00F60B5F" w:rsidP="00CC4CE3">
      <w:pPr>
        <w:pStyle w:val="Source"/>
      </w:pPr>
      <w:r w:rsidRPr="00D7423E">
        <w:t>Source: Department of Treasury and Finance</w:t>
      </w:r>
    </w:p>
    <w:p w:rsidR="00F60B5F" w:rsidRPr="00D7423E" w:rsidRDefault="00F60B5F" w:rsidP="00CC4CE3">
      <w:pPr>
        <w:pStyle w:val="Notes"/>
      </w:pPr>
      <w:r w:rsidRPr="00D7423E">
        <w:t>Note:</w:t>
      </w:r>
    </w:p>
    <w:p w:rsidR="00F60B5F" w:rsidRPr="00D7423E" w:rsidRDefault="00F60B5F" w:rsidP="00CC4CE3">
      <w:pPr>
        <w:pStyle w:val="Notes"/>
      </w:pPr>
      <w:r w:rsidRPr="00D7423E">
        <w:t>(a)</w:t>
      </w:r>
      <w:r w:rsidRPr="00D7423E">
        <w:tab/>
      </w:r>
      <w:r>
        <w:t xml:space="preserve">Superannuation liabilities between 1999 and 2004 are calculated under the previous Australian accounting standard, whereas from 2005 onward </w:t>
      </w:r>
      <w:r>
        <w:rPr>
          <w:i w:val="0"/>
        </w:rPr>
        <w:t>AASB </w:t>
      </w:r>
      <w:r w:rsidRPr="00F443AC">
        <w:rPr>
          <w:i w:val="0"/>
        </w:rPr>
        <w:t>119</w:t>
      </w:r>
      <w:r>
        <w:t xml:space="preserve"> </w:t>
      </w:r>
      <w:r w:rsidRPr="00A06135">
        <w:rPr>
          <w:i w:val="0"/>
        </w:rPr>
        <w:t>Employee benefits</w:t>
      </w:r>
      <w:r>
        <w:t xml:space="preserve"> has been applied.</w:t>
      </w:r>
    </w:p>
    <w:p w:rsidR="00F60B5F" w:rsidRDefault="00F60B5F" w:rsidP="00CC4CE3">
      <w:pPr>
        <w:spacing w:after="0"/>
        <w:rPr>
          <w:rFonts w:ascii="Calibri" w:hAnsi="Calibri"/>
          <w:b/>
        </w:rPr>
      </w:pPr>
      <w:r>
        <w:br w:type="page"/>
      </w:r>
    </w:p>
    <w:p w:rsidR="00F60B5F" w:rsidRDefault="00F60B5F" w:rsidP="00CC4CE3">
      <w:pPr>
        <w:pStyle w:val="Tableheading"/>
      </w:pPr>
      <w:r>
        <w:t xml:space="preserve">Table 3.5: </w:t>
      </w:r>
      <w:r>
        <w:tab/>
        <w:t>General government sector net debt and net financial liabilities as at 30 June</w:t>
      </w:r>
    </w:p>
    <w:p w:rsidR="00F60B5F" w:rsidRPr="00E0547B" w:rsidRDefault="00F60B5F" w:rsidP="00E0547B">
      <w:pPr>
        <w:pStyle w:val="million"/>
      </w:pPr>
      <w:r>
        <w:t>($ billion)</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197"/>
        <w:gridCol w:w="180"/>
        <w:gridCol w:w="617"/>
        <w:gridCol w:w="994"/>
        <w:gridCol w:w="994"/>
        <w:gridCol w:w="994"/>
        <w:gridCol w:w="994"/>
      </w:tblGrid>
      <w:tr w:rsidR="00F60B5F" w:rsidRPr="00E0547B" w:rsidTr="00E0547B">
        <w:tc>
          <w:tcPr>
            <w:tcW w:w="2790" w:type="dxa"/>
            <w:tcBorders>
              <w:top w:val="single" w:sz="6" w:space="0" w:color="auto"/>
              <w:left w:val="single" w:sz="6" w:space="0" w:color="auto"/>
              <w:bottom w:val="nil"/>
              <w:right w:val="nil"/>
            </w:tcBorders>
            <w:shd w:val="clear" w:color="000000" w:fill="000000"/>
          </w:tcPr>
          <w:p w:rsidR="00F60B5F" w:rsidRPr="00E0547B" w:rsidRDefault="00F60B5F" w:rsidP="00E0547B">
            <w:pPr>
              <w:pStyle w:val="Tabletext"/>
              <w:rPr>
                <w:rFonts w:eastAsiaTheme="minorEastAsia"/>
                <w:lang w:eastAsia="en-AU"/>
              </w:rPr>
            </w:pPr>
            <w:r w:rsidRPr="00E0547B">
              <w:rPr>
                <w:rFonts w:eastAsiaTheme="minorEastAsia"/>
                <w:lang w:eastAsia="en-AU"/>
              </w:rPr>
              <w:t xml:space="preserve"> </w:t>
            </w:r>
          </w:p>
        </w:tc>
        <w:tc>
          <w:tcPr>
            <w:tcW w:w="994" w:type="dxa"/>
            <w:gridSpan w:val="3"/>
            <w:tcBorders>
              <w:top w:val="single" w:sz="6" w:space="0" w:color="auto"/>
              <w:left w:val="nil"/>
              <w:bottom w:val="nil"/>
              <w:right w:val="nil"/>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2013</w:t>
            </w:r>
          </w:p>
        </w:tc>
        <w:tc>
          <w:tcPr>
            <w:tcW w:w="994" w:type="dxa"/>
            <w:tcBorders>
              <w:top w:val="single" w:sz="6" w:space="0" w:color="auto"/>
              <w:left w:val="nil"/>
              <w:bottom w:val="nil"/>
              <w:right w:val="nil"/>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2014</w:t>
            </w:r>
          </w:p>
        </w:tc>
        <w:tc>
          <w:tcPr>
            <w:tcW w:w="994" w:type="dxa"/>
            <w:tcBorders>
              <w:top w:val="single" w:sz="6" w:space="0" w:color="auto"/>
              <w:left w:val="nil"/>
              <w:bottom w:val="nil"/>
              <w:right w:val="nil"/>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2015</w:t>
            </w:r>
          </w:p>
        </w:tc>
        <w:tc>
          <w:tcPr>
            <w:tcW w:w="994" w:type="dxa"/>
            <w:tcBorders>
              <w:top w:val="single" w:sz="6" w:space="0" w:color="auto"/>
              <w:left w:val="nil"/>
              <w:bottom w:val="nil"/>
              <w:right w:val="nil"/>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2016</w:t>
            </w:r>
          </w:p>
        </w:tc>
        <w:tc>
          <w:tcPr>
            <w:tcW w:w="994" w:type="dxa"/>
            <w:tcBorders>
              <w:top w:val="single" w:sz="6" w:space="0" w:color="auto"/>
              <w:left w:val="nil"/>
              <w:bottom w:val="nil"/>
              <w:right w:val="single" w:sz="6" w:space="0" w:color="auto"/>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2017</w:t>
            </w:r>
          </w:p>
        </w:tc>
      </w:tr>
      <w:tr w:rsidR="00F60B5F" w:rsidRPr="00E0547B" w:rsidTr="00E0547B">
        <w:tc>
          <w:tcPr>
            <w:tcW w:w="2790" w:type="dxa"/>
            <w:tcBorders>
              <w:top w:val="nil"/>
              <w:left w:val="single" w:sz="6" w:space="0" w:color="auto"/>
              <w:bottom w:val="single" w:sz="6" w:space="0" w:color="auto"/>
              <w:right w:val="nil"/>
            </w:tcBorders>
            <w:shd w:val="clear" w:color="000000" w:fill="000000"/>
          </w:tcPr>
          <w:p w:rsidR="00F60B5F" w:rsidRPr="00E0547B" w:rsidRDefault="00F60B5F" w:rsidP="00E0547B">
            <w:pPr>
              <w:pStyle w:val="Tabletext"/>
              <w:rPr>
                <w:rFonts w:eastAsiaTheme="minorEastAsia"/>
                <w:lang w:eastAsia="en-AU"/>
              </w:rPr>
            </w:pPr>
            <w:r w:rsidRPr="00E0547B">
              <w:rPr>
                <w:rFonts w:eastAsiaTheme="minorEastAsia"/>
                <w:lang w:eastAsia="en-AU"/>
              </w:rPr>
              <w:t xml:space="preserve"> </w:t>
            </w:r>
          </w:p>
        </w:tc>
        <w:tc>
          <w:tcPr>
            <w:tcW w:w="994" w:type="dxa"/>
            <w:gridSpan w:val="3"/>
            <w:tcBorders>
              <w:top w:val="nil"/>
              <w:left w:val="nil"/>
              <w:bottom w:val="single" w:sz="6" w:space="0" w:color="auto"/>
              <w:right w:val="nil"/>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Actual</w:t>
            </w:r>
          </w:p>
        </w:tc>
        <w:tc>
          <w:tcPr>
            <w:tcW w:w="994" w:type="dxa"/>
            <w:tcBorders>
              <w:top w:val="nil"/>
              <w:left w:val="nil"/>
              <w:bottom w:val="single" w:sz="6" w:space="0" w:color="auto"/>
              <w:right w:val="nil"/>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Revised</w:t>
            </w:r>
          </w:p>
        </w:tc>
        <w:tc>
          <w:tcPr>
            <w:tcW w:w="994" w:type="dxa"/>
            <w:tcBorders>
              <w:top w:val="nil"/>
              <w:left w:val="nil"/>
              <w:bottom w:val="single" w:sz="6" w:space="0" w:color="auto"/>
              <w:right w:val="nil"/>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Estimate</w:t>
            </w:r>
          </w:p>
        </w:tc>
        <w:tc>
          <w:tcPr>
            <w:tcW w:w="994" w:type="dxa"/>
            <w:tcBorders>
              <w:top w:val="nil"/>
              <w:left w:val="nil"/>
              <w:bottom w:val="single" w:sz="6" w:space="0" w:color="auto"/>
              <w:right w:val="nil"/>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Estimate</w:t>
            </w:r>
          </w:p>
        </w:tc>
        <w:tc>
          <w:tcPr>
            <w:tcW w:w="994" w:type="dxa"/>
            <w:tcBorders>
              <w:top w:val="nil"/>
              <w:left w:val="nil"/>
              <w:bottom w:val="single" w:sz="6" w:space="0" w:color="auto"/>
              <w:right w:val="single" w:sz="6" w:space="0" w:color="auto"/>
            </w:tcBorders>
            <w:shd w:val="clear" w:color="000000" w:fill="000000"/>
          </w:tcPr>
          <w:p w:rsidR="00F60B5F" w:rsidRPr="00E0547B" w:rsidRDefault="00F60B5F" w:rsidP="00E0547B">
            <w:pPr>
              <w:pStyle w:val="Tabletextheading"/>
              <w:rPr>
                <w:rFonts w:eastAsiaTheme="minorEastAsia"/>
                <w:iCs/>
                <w:color w:val="FFFFFF"/>
                <w:lang w:eastAsia="en-AU"/>
              </w:rPr>
            </w:pPr>
            <w:r w:rsidRPr="00E0547B">
              <w:rPr>
                <w:rFonts w:eastAsiaTheme="minorEastAsia"/>
                <w:iCs/>
                <w:color w:val="FFFFFF"/>
                <w:lang w:eastAsia="en-AU"/>
              </w:rPr>
              <w:t>Estimate</w:t>
            </w:r>
          </w:p>
        </w:tc>
      </w:tr>
      <w:tr w:rsidR="00F60B5F" w:rsidRPr="00E0547B" w:rsidTr="00E0547B">
        <w:tc>
          <w:tcPr>
            <w:tcW w:w="2790" w:type="dxa"/>
            <w:tcBorders>
              <w:top w:val="single" w:sz="6" w:space="0" w:color="auto"/>
              <w:left w:val="nil"/>
              <w:bottom w:val="nil"/>
              <w:right w:val="nil"/>
            </w:tcBorders>
          </w:tcPr>
          <w:p w:rsidR="00F60B5F" w:rsidRPr="00E0547B" w:rsidRDefault="00F60B5F" w:rsidP="00E0547B">
            <w:pPr>
              <w:pStyle w:val="Tabletext"/>
              <w:rPr>
                <w:rFonts w:eastAsiaTheme="minorEastAsia"/>
                <w:b/>
                <w:bCs/>
                <w:lang w:eastAsia="en-AU"/>
              </w:rPr>
            </w:pPr>
            <w:r w:rsidRPr="00E0547B">
              <w:rPr>
                <w:rFonts w:eastAsiaTheme="minorEastAsia"/>
                <w:b/>
                <w:bCs/>
                <w:lang w:eastAsia="en-AU"/>
              </w:rPr>
              <w:t>Financial assets</w:t>
            </w:r>
          </w:p>
        </w:tc>
        <w:tc>
          <w:tcPr>
            <w:tcW w:w="994" w:type="dxa"/>
            <w:gridSpan w:val="3"/>
            <w:tcBorders>
              <w:top w:val="single" w:sz="6" w:space="0" w:color="auto"/>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c>
          <w:tcPr>
            <w:tcW w:w="994" w:type="dxa"/>
            <w:tcBorders>
              <w:top w:val="single" w:sz="6" w:space="0" w:color="auto"/>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c>
          <w:tcPr>
            <w:tcW w:w="994" w:type="dxa"/>
            <w:tcBorders>
              <w:top w:val="single" w:sz="6" w:space="0" w:color="auto"/>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c>
          <w:tcPr>
            <w:tcW w:w="994" w:type="dxa"/>
            <w:tcBorders>
              <w:top w:val="single" w:sz="6" w:space="0" w:color="auto"/>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c>
          <w:tcPr>
            <w:tcW w:w="994" w:type="dxa"/>
            <w:tcBorders>
              <w:top w:val="single" w:sz="6" w:space="0" w:color="auto"/>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r>
      <w:tr w:rsidR="00F60B5F" w:rsidRPr="00E0547B" w:rsidTr="00E0547B">
        <w:tc>
          <w:tcPr>
            <w:tcW w:w="2790" w:type="dxa"/>
            <w:tcBorders>
              <w:top w:val="nil"/>
              <w:left w:val="nil"/>
              <w:bottom w:val="nil"/>
              <w:right w:val="nil"/>
            </w:tcBorders>
          </w:tcPr>
          <w:p w:rsidR="00F60B5F" w:rsidRPr="00E0547B" w:rsidRDefault="00F60B5F" w:rsidP="00E0547B">
            <w:pPr>
              <w:pStyle w:val="Tabletext"/>
              <w:rPr>
                <w:rFonts w:eastAsiaTheme="minorEastAsia"/>
                <w:lang w:eastAsia="en-AU"/>
              </w:rPr>
            </w:pPr>
            <w:r w:rsidRPr="00E0547B">
              <w:rPr>
                <w:rFonts w:eastAsiaTheme="minorEastAsia"/>
                <w:lang w:eastAsia="en-AU"/>
              </w:rPr>
              <w:t>Cash and deposits</w:t>
            </w:r>
          </w:p>
        </w:tc>
        <w:tc>
          <w:tcPr>
            <w:tcW w:w="994" w:type="dxa"/>
            <w:gridSpan w:val="3"/>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4.0</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4.0</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4.2</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4.5</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4.9</w:t>
            </w:r>
          </w:p>
        </w:tc>
      </w:tr>
      <w:tr w:rsidR="00F60B5F" w:rsidRPr="00E0547B" w:rsidTr="00E0547B">
        <w:tc>
          <w:tcPr>
            <w:tcW w:w="2790" w:type="dxa"/>
            <w:tcBorders>
              <w:top w:val="nil"/>
              <w:left w:val="nil"/>
              <w:bottom w:val="nil"/>
              <w:right w:val="nil"/>
            </w:tcBorders>
          </w:tcPr>
          <w:p w:rsidR="00F60B5F" w:rsidRPr="00E0547B" w:rsidRDefault="00F60B5F" w:rsidP="00E0547B">
            <w:pPr>
              <w:pStyle w:val="Tabletext"/>
              <w:rPr>
                <w:rFonts w:eastAsiaTheme="minorEastAsia"/>
                <w:lang w:eastAsia="en-AU"/>
              </w:rPr>
            </w:pPr>
            <w:r w:rsidRPr="00E0547B">
              <w:rPr>
                <w:rFonts w:eastAsiaTheme="minorEastAsia"/>
                <w:lang w:eastAsia="en-AU"/>
              </w:rPr>
              <w:t>Advances paid</w:t>
            </w:r>
          </w:p>
        </w:tc>
        <w:tc>
          <w:tcPr>
            <w:tcW w:w="994" w:type="dxa"/>
            <w:gridSpan w:val="3"/>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4.6</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4.6</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4.5</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4.5</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4.5</w:t>
            </w:r>
          </w:p>
        </w:tc>
      </w:tr>
      <w:tr w:rsidR="00F60B5F" w:rsidRPr="00E0547B" w:rsidTr="00E0547B">
        <w:tc>
          <w:tcPr>
            <w:tcW w:w="2987" w:type="dxa"/>
            <w:gridSpan w:val="2"/>
            <w:tcBorders>
              <w:top w:val="nil"/>
              <w:left w:val="nil"/>
              <w:bottom w:val="single" w:sz="6" w:space="0" w:color="auto"/>
              <w:right w:val="nil"/>
            </w:tcBorders>
          </w:tcPr>
          <w:p w:rsidR="00F60B5F" w:rsidRPr="00E0547B" w:rsidRDefault="00F60B5F" w:rsidP="00E0547B">
            <w:pPr>
              <w:pStyle w:val="Tabletext"/>
              <w:rPr>
                <w:rFonts w:eastAsiaTheme="minorEastAsia"/>
                <w:lang w:eastAsia="en-AU"/>
              </w:rPr>
            </w:pPr>
            <w:r w:rsidRPr="00E0547B">
              <w:rPr>
                <w:rFonts w:eastAsiaTheme="minorEastAsia"/>
                <w:lang w:eastAsia="en-AU"/>
              </w:rPr>
              <w:t>Investments, loans and placements</w:t>
            </w:r>
          </w:p>
        </w:tc>
        <w:tc>
          <w:tcPr>
            <w:tcW w:w="797" w:type="dxa"/>
            <w:gridSpan w:val="2"/>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3.4</w:t>
            </w:r>
          </w:p>
        </w:tc>
        <w:tc>
          <w:tcPr>
            <w:tcW w:w="994" w:type="dxa"/>
            <w:tcBorders>
              <w:top w:val="nil"/>
              <w:left w:val="nil"/>
              <w:bottom w:val="single" w:sz="6" w:space="0" w:color="auto"/>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3.4</w:t>
            </w:r>
          </w:p>
        </w:tc>
        <w:tc>
          <w:tcPr>
            <w:tcW w:w="994" w:type="dxa"/>
            <w:tcBorders>
              <w:top w:val="nil"/>
              <w:left w:val="nil"/>
              <w:bottom w:val="single" w:sz="6" w:space="0" w:color="auto"/>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3.5</w:t>
            </w:r>
          </w:p>
        </w:tc>
        <w:tc>
          <w:tcPr>
            <w:tcW w:w="994" w:type="dxa"/>
            <w:tcBorders>
              <w:top w:val="nil"/>
              <w:left w:val="nil"/>
              <w:bottom w:val="single" w:sz="6" w:space="0" w:color="auto"/>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3.6</w:t>
            </w:r>
          </w:p>
        </w:tc>
        <w:tc>
          <w:tcPr>
            <w:tcW w:w="994" w:type="dxa"/>
            <w:tcBorders>
              <w:top w:val="nil"/>
              <w:left w:val="nil"/>
              <w:bottom w:val="single" w:sz="6" w:space="0" w:color="auto"/>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3.7</w:t>
            </w:r>
          </w:p>
        </w:tc>
      </w:tr>
      <w:tr w:rsidR="00F60B5F" w:rsidRPr="00E0547B" w:rsidTr="00E0547B">
        <w:tc>
          <w:tcPr>
            <w:tcW w:w="2790" w:type="dxa"/>
            <w:tcBorders>
              <w:top w:val="nil"/>
              <w:left w:val="nil"/>
              <w:bottom w:val="nil"/>
              <w:right w:val="nil"/>
            </w:tcBorders>
          </w:tcPr>
          <w:p w:rsidR="00F60B5F" w:rsidRPr="00E0547B" w:rsidRDefault="00F60B5F" w:rsidP="00E0547B">
            <w:pPr>
              <w:pStyle w:val="Tabletext"/>
              <w:rPr>
                <w:rFonts w:eastAsiaTheme="minorEastAsia"/>
                <w:b/>
                <w:bCs/>
                <w:lang w:eastAsia="en-AU"/>
              </w:rPr>
            </w:pPr>
            <w:r w:rsidRPr="00E0547B">
              <w:rPr>
                <w:rFonts w:eastAsiaTheme="minorEastAsia"/>
                <w:b/>
                <w:bCs/>
                <w:lang w:eastAsia="en-AU"/>
              </w:rPr>
              <w:t>Total</w:t>
            </w:r>
          </w:p>
        </w:tc>
        <w:tc>
          <w:tcPr>
            <w:tcW w:w="994" w:type="dxa"/>
            <w:gridSpan w:val="3"/>
            <w:tcBorders>
              <w:top w:val="single" w:sz="6" w:space="0" w:color="auto"/>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12.0</w:t>
            </w:r>
          </w:p>
        </w:tc>
        <w:tc>
          <w:tcPr>
            <w:tcW w:w="994" w:type="dxa"/>
            <w:tcBorders>
              <w:top w:val="nil"/>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12.0</w:t>
            </w:r>
          </w:p>
        </w:tc>
        <w:tc>
          <w:tcPr>
            <w:tcW w:w="994" w:type="dxa"/>
            <w:tcBorders>
              <w:top w:val="nil"/>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12.2</w:t>
            </w:r>
          </w:p>
        </w:tc>
        <w:tc>
          <w:tcPr>
            <w:tcW w:w="994" w:type="dxa"/>
            <w:tcBorders>
              <w:top w:val="nil"/>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12.6</w:t>
            </w:r>
          </w:p>
        </w:tc>
        <w:tc>
          <w:tcPr>
            <w:tcW w:w="994" w:type="dxa"/>
            <w:tcBorders>
              <w:top w:val="nil"/>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13.0</w:t>
            </w:r>
          </w:p>
        </w:tc>
      </w:tr>
      <w:tr w:rsidR="00F60B5F" w:rsidRPr="00E0547B" w:rsidTr="00E0547B">
        <w:tc>
          <w:tcPr>
            <w:tcW w:w="2790" w:type="dxa"/>
            <w:tcBorders>
              <w:top w:val="nil"/>
              <w:left w:val="nil"/>
              <w:bottom w:val="nil"/>
              <w:right w:val="nil"/>
            </w:tcBorders>
          </w:tcPr>
          <w:p w:rsidR="00F60B5F" w:rsidRPr="00E0547B" w:rsidRDefault="00F60B5F" w:rsidP="00E0547B">
            <w:pPr>
              <w:pStyle w:val="Tabletext"/>
              <w:rPr>
                <w:rFonts w:eastAsiaTheme="minorEastAsia"/>
                <w:b/>
                <w:bCs/>
                <w:lang w:eastAsia="en-AU"/>
              </w:rPr>
            </w:pPr>
            <w:r w:rsidRPr="00E0547B">
              <w:rPr>
                <w:rFonts w:eastAsiaTheme="minorEastAsia"/>
                <w:b/>
                <w:bCs/>
                <w:lang w:eastAsia="en-AU"/>
              </w:rPr>
              <w:t>Financial liabilities</w:t>
            </w:r>
          </w:p>
        </w:tc>
        <w:tc>
          <w:tcPr>
            <w:tcW w:w="994" w:type="dxa"/>
            <w:gridSpan w:val="3"/>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c>
          <w:tcPr>
            <w:tcW w:w="994" w:type="dxa"/>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c>
          <w:tcPr>
            <w:tcW w:w="994" w:type="dxa"/>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c>
          <w:tcPr>
            <w:tcW w:w="994" w:type="dxa"/>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c>
          <w:tcPr>
            <w:tcW w:w="994" w:type="dxa"/>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 xml:space="preserve">   </w:t>
            </w:r>
          </w:p>
        </w:tc>
      </w:tr>
      <w:tr w:rsidR="00F60B5F" w:rsidRPr="00E0547B" w:rsidTr="00E0547B">
        <w:tc>
          <w:tcPr>
            <w:tcW w:w="3167" w:type="dxa"/>
            <w:gridSpan w:val="3"/>
            <w:tcBorders>
              <w:top w:val="nil"/>
              <w:left w:val="nil"/>
              <w:bottom w:val="nil"/>
              <w:right w:val="nil"/>
            </w:tcBorders>
          </w:tcPr>
          <w:p w:rsidR="00F60B5F" w:rsidRPr="00E0547B" w:rsidRDefault="00F60B5F" w:rsidP="00E0547B">
            <w:pPr>
              <w:pStyle w:val="Tabletext"/>
              <w:rPr>
                <w:rFonts w:eastAsiaTheme="minorEastAsia"/>
                <w:lang w:eastAsia="en-AU"/>
              </w:rPr>
            </w:pPr>
            <w:r w:rsidRPr="00E0547B">
              <w:rPr>
                <w:rFonts w:eastAsiaTheme="minorEastAsia"/>
                <w:lang w:eastAsia="en-AU"/>
              </w:rPr>
              <w:t>Deposits held and advances received</w:t>
            </w:r>
          </w:p>
        </w:tc>
        <w:tc>
          <w:tcPr>
            <w:tcW w:w="617"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0.4</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0.4</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0.4</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0.4</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0.4</w:t>
            </w:r>
          </w:p>
        </w:tc>
      </w:tr>
      <w:tr w:rsidR="00F60B5F" w:rsidRPr="00E0547B" w:rsidTr="00E0547B">
        <w:tc>
          <w:tcPr>
            <w:tcW w:w="2790" w:type="dxa"/>
            <w:tcBorders>
              <w:top w:val="nil"/>
              <w:left w:val="nil"/>
              <w:bottom w:val="nil"/>
              <w:right w:val="nil"/>
            </w:tcBorders>
          </w:tcPr>
          <w:p w:rsidR="00F60B5F" w:rsidRPr="00E0547B" w:rsidRDefault="00F60B5F" w:rsidP="00E0547B">
            <w:pPr>
              <w:pStyle w:val="Tabletext"/>
              <w:rPr>
                <w:rFonts w:eastAsiaTheme="minorEastAsia"/>
                <w:lang w:eastAsia="en-AU"/>
              </w:rPr>
            </w:pPr>
            <w:r w:rsidRPr="00E0547B">
              <w:rPr>
                <w:rFonts w:eastAsiaTheme="minorEastAsia"/>
                <w:lang w:eastAsia="en-AU"/>
              </w:rPr>
              <w:t>Borrowings</w:t>
            </w:r>
          </w:p>
        </w:tc>
        <w:tc>
          <w:tcPr>
            <w:tcW w:w="994" w:type="dxa"/>
            <w:gridSpan w:val="3"/>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31.3</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34.3</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36.6</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36.1</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35.4</w:t>
            </w:r>
          </w:p>
        </w:tc>
      </w:tr>
      <w:tr w:rsidR="00F60B5F" w:rsidRPr="00E0547B" w:rsidTr="00E0547B">
        <w:tc>
          <w:tcPr>
            <w:tcW w:w="2790" w:type="dxa"/>
            <w:tcBorders>
              <w:top w:val="single" w:sz="6" w:space="0" w:color="auto"/>
              <w:left w:val="nil"/>
              <w:bottom w:val="single" w:sz="6" w:space="0" w:color="auto"/>
              <w:right w:val="nil"/>
            </w:tcBorders>
          </w:tcPr>
          <w:p w:rsidR="00F60B5F" w:rsidRPr="00E0547B" w:rsidRDefault="00F60B5F" w:rsidP="00E0547B">
            <w:pPr>
              <w:pStyle w:val="Tabletext"/>
              <w:rPr>
                <w:rFonts w:eastAsiaTheme="minorEastAsia"/>
                <w:b/>
                <w:bCs/>
                <w:lang w:eastAsia="en-AU"/>
              </w:rPr>
            </w:pPr>
            <w:r w:rsidRPr="00E0547B">
              <w:rPr>
                <w:rFonts w:eastAsiaTheme="minorEastAsia"/>
                <w:b/>
                <w:bCs/>
                <w:lang w:eastAsia="en-AU"/>
              </w:rPr>
              <w:t>Total</w:t>
            </w:r>
          </w:p>
        </w:tc>
        <w:tc>
          <w:tcPr>
            <w:tcW w:w="994" w:type="dxa"/>
            <w:gridSpan w:val="3"/>
            <w:tcBorders>
              <w:top w:val="single" w:sz="6" w:space="0" w:color="auto"/>
              <w:left w:val="nil"/>
              <w:bottom w:val="single" w:sz="6" w:space="0" w:color="auto"/>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31.8</w:t>
            </w:r>
          </w:p>
        </w:tc>
        <w:tc>
          <w:tcPr>
            <w:tcW w:w="994" w:type="dxa"/>
            <w:tcBorders>
              <w:top w:val="single" w:sz="6" w:space="0" w:color="auto"/>
              <w:left w:val="nil"/>
              <w:bottom w:val="single" w:sz="6" w:space="0" w:color="auto"/>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34.7</w:t>
            </w:r>
          </w:p>
        </w:tc>
        <w:tc>
          <w:tcPr>
            <w:tcW w:w="994" w:type="dxa"/>
            <w:tcBorders>
              <w:top w:val="single" w:sz="6" w:space="0" w:color="auto"/>
              <w:left w:val="nil"/>
              <w:bottom w:val="single" w:sz="6" w:space="0" w:color="auto"/>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37.0</w:t>
            </w:r>
          </w:p>
        </w:tc>
        <w:tc>
          <w:tcPr>
            <w:tcW w:w="994" w:type="dxa"/>
            <w:tcBorders>
              <w:top w:val="single" w:sz="6" w:space="0" w:color="auto"/>
              <w:left w:val="nil"/>
              <w:bottom w:val="single" w:sz="6" w:space="0" w:color="auto"/>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36.5</w:t>
            </w:r>
          </w:p>
        </w:tc>
        <w:tc>
          <w:tcPr>
            <w:tcW w:w="994" w:type="dxa"/>
            <w:tcBorders>
              <w:top w:val="single" w:sz="6" w:space="0" w:color="auto"/>
              <w:left w:val="nil"/>
              <w:bottom w:val="single" w:sz="6" w:space="0" w:color="auto"/>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35.8</w:t>
            </w:r>
          </w:p>
        </w:tc>
      </w:tr>
      <w:tr w:rsidR="00F60B5F" w:rsidRPr="00E0547B" w:rsidTr="00E0547B">
        <w:tc>
          <w:tcPr>
            <w:tcW w:w="2790" w:type="dxa"/>
            <w:tcBorders>
              <w:top w:val="nil"/>
              <w:left w:val="nil"/>
              <w:bottom w:val="nil"/>
              <w:right w:val="nil"/>
            </w:tcBorders>
          </w:tcPr>
          <w:p w:rsidR="00F60B5F" w:rsidRPr="00E0547B" w:rsidRDefault="00F60B5F" w:rsidP="00165450">
            <w:pPr>
              <w:pStyle w:val="Tabletext"/>
              <w:spacing w:before="20"/>
              <w:rPr>
                <w:rFonts w:eastAsiaTheme="minorEastAsia"/>
                <w:b/>
                <w:bCs/>
                <w:vertAlign w:val="superscript"/>
                <w:lang w:eastAsia="en-AU"/>
              </w:rPr>
            </w:pPr>
            <w:r w:rsidRPr="00E0547B">
              <w:rPr>
                <w:rFonts w:eastAsiaTheme="minorEastAsia"/>
                <w:b/>
                <w:bCs/>
                <w:lang w:eastAsia="en-AU"/>
              </w:rPr>
              <w:t xml:space="preserve">Net debt </w:t>
            </w:r>
            <w:r w:rsidRPr="00013E6C">
              <w:rPr>
                <w:rFonts w:eastAsiaTheme="minorEastAsia"/>
                <w:b/>
                <w:bCs/>
                <w:vertAlign w:val="superscript"/>
                <w:lang w:eastAsia="en-AU"/>
              </w:rPr>
              <w:t>(a)</w:t>
            </w:r>
          </w:p>
        </w:tc>
        <w:tc>
          <w:tcPr>
            <w:tcW w:w="994" w:type="dxa"/>
            <w:gridSpan w:val="3"/>
            <w:tcBorders>
              <w:top w:val="nil"/>
              <w:left w:val="nil"/>
              <w:bottom w:val="nil"/>
              <w:right w:val="nil"/>
            </w:tcBorders>
          </w:tcPr>
          <w:p w:rsidR="00F60B5F" w:rsidRPr="00E0547B" w:rsidRDefault="00F60B5F" w:rsidP="00165450">
            <w:pPr>
              <w:pStyle w:val="TableofFigures"/>
              <w:spacing w:before="20"/>
              <w:rPr>
                <w:rFonts w:eastAsiaTheme="minorEastAsia"/>
                <w:b/>
                <w:lang w:eastAsia="en-AU"/>
              </w:rPr>
            </w:pPr>
            <w:r w:rsidRPr="00E0547B">
              <w:rPr>
                <w:rFonts w:eastAsiaTheme="minorEastAsia"/>
                <w:b/>
                <w:lang w:eastAsia="en-AU"/>
              </w:rPr>
              <w:t xml:space="preserve"> 19.8</w:t>
            </w:r>
          </w:p>
        </w:tc>
        <w:tc>
          <w:tcPr>
            <w:tcW w:w="994" w:type="dxa"/>
            <w:tcBorders>
              <w:top w:val="nil"/>
              <w:left w:val="nil"/>
              <w:bottom w:val="nil"/>
              <w:right w:val="nil"/>
            </w:tcBorders>
          </w:tcPr>
          <w:p w:rsidR="00F60B5F" w:rsidRPr="00E0547B" w:rsidRDefault="00F60B5F" w:rsidP="00165450">
            <w:pPr>
              <w:pStyle w:val="TableofFigures"/>
              <w:spacing w:before="20"/>
              <w:rPr>
                <w:rFonts w:eastAsiaTheme="minorEastAsia"/>
                <w:b/>
                <w:lang w:eastAsia="en-AU"/>
              </w:rPr>
            </w:pPr>
            <w:r w:rsidRPr="00E0547B">
              <w:rPr>
                <w:rFonts w:eastAsiaTheme="minorEastAsia"/>
                <w:b/>
                <w:lang w:eastAsia="en-AU"/>
              </w:rPr>
              <w:t xml:space="preserve"> 22.7</w:t>
            </w:r>
          </w:p>
        </w:tc>
        <w:tc>
          <w:tcPr>
            <w:tcW w:w="994" w:type="dxa"/>
            <w:tcBorders>
              <w:top w:val="nil"/>
              <w:left w:val="nil"/>
              <w:bottom w:val="nil"/>
              <w:right w:val="nil"/>
            </w:tcBorders>
          </w:tcPr>
          <w:p w:rsidR="00F60B5F" w:rsidRPr="00E0547B" w:rsidRDefault="00F60B5F" w:rsidP="00165450">
            <w:pPr>
              <w:pStyle w:val="TableofFigures"/>
              <w:spacing w:before="20"/>
              <w:rPr>
                <w:rFonts w:eastAsiaTheme="minorEastAsia"/>
                <w:b/>
                <w:lang w:eastAsia="en-AU"/>
              </w:rPr>
            </w:pPr>
            <w:r w:rsidRPr="00E0547B">
              <w:rPr>
                <w:rFonts w:eastAsiaTheme="minorEastAsia"/>
                <w:b/>
                <w:lang w:eastAsia="en-AU"/>
              </w:rPr>
              <w:t xml:space="preserve"> 24.8</w:t>
            </w:r>
          </w:p>
        </w:tc>
        <w:tc>
          <w:tcPr>
            <w:tcW w:w="994" w:type="dxa"/>
            <w:tcBorders>
              <w:top w:val="nil"/>
              <w:left w:val="nil"/>
              <w:bottom w:val="nil"/>
              <w:right w:val="nil"/>
            </w:tcBorders>
          </w:tcPr>
          <w:p w:rsidR="00F60B5F" w:rsidRPr="00E0547B" w:rsidRDefault="00F60B5F" w:rsidP="00165450">
            <w:pPr>
              <w:pStyle w:val="TableofFigures"/>
              <w:spacing w:before="20"/>
              <w:rPr>
                <w:rFonts w:eastAsiaTheme="minorEastAsia"/>
                <w:b/>
                <w:lang w:eastAsia="en-AU"/>
              </w:rPr>
            </w:pPr>
            <w:r w:rsidRPr="00E0547B">
              <w:rPr>
                <w:rFonts w:eastAsiaTheme="minorEastAsia"/>
                <w:b/>
                <w:lang w:eastAsia="en-AU"/>
              </w:rPr>
              <w:t xml:space="preserve"> 23.9</w:t>
            </w:r>
          </w:p>
        </w:tc>
        <w:tc>
          <w:tcPr>
            <w:tcW w:w="994" w:type="dxa"/>
            <w:tcBorders>
              <w:top w:val="nil"/>
              <w:left w:val="nil"/>
              <w:bottom w:val="nil"/>
              <w:right w:val="nil"/>
            </w:tcBorders>
          </w:tcPr>
          <w:p w:rsidR="00F60B5F" w:rsidRPr="00E0547B" w:rsidRDefault="00F60B5F" w:rsidP="00165450">
            <w:pPr>
              <w:pStyle w:val="TableofFigures"/>
              <w:spacing w:before="20"/>
              <w:rPr>
                <w:rFonts w:eastAsiaTheme="minorEastAsia"/>
                <w:b/>
                <w:lang w:eastAsia="en-AU"/>
              </w:rPr>
            </w:pPr>
            <w:r w:rsidRPr="00E0547B">
              <w:rPr>
                <w:rFonts w:eastAsiaTheme="minorEastAsia"/>
                <w:b/>
                <w:lang w:eastAsia="en-AU"/>
              </w:rPr>
              <w:t xml:space="preserve"> 22.8</w:t>
            </w:r>
          </w:p>
        </w:tc>
      </w:tr>
      <w:tr w:rsidR="00F60B5F" w:rsidRPr="00E0547B" w:rsidTr="00E0547B">
        <w:tc>
          <w:tcPr>
            <w:tcW w:w="2790" w:type="dxa"/>
            <w:tcBorders>
              <w:top w:val="nil"/>
              <w:left w:val="nil"/>
              <w:bottom w:val="single" w:sz="6" w:space="0" w:color="auto"/>
              <w:right w:val="nil"/>
            </w:tcBorders>
          </w:tcPr>
          <w:p w:rsidR="00F60B5F" w:rsidRPr="00E0547B" w:rsidRDefault="00F60B5F" w:rsidP="00E0547B">
            <w:pPr>
              <w:pStyle w:val="Tabletext"/>
              <w:rPr>
                <w:rFonts w:eastAsiaTheme="minorEastAsia"/>
                <w:lang w:eastAsia="en-AU"/>
              </w:rPr>
            </w:pPr>
            <w:r>
              <w:rPr>
                <w:rFonts w:eastAsiaTheme="minorEastAsia"/>
                <w:lang w:eastAsia="en-AU"/>
              </w:rPr>
              <w:t>Superannuation liability</w:t>
            </w:r>
          </w:p>
        </w:tc>
        <w:tc>
          <w:tcPr>
            <w:tcW w:w="994" w:type="dxa"/>
            <w:gridSpan w:val="3"/>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25.1</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23.6</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23.2</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22.8</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22.2</w:t>
            </w:r>
          </w:p>
        </w:tc>
      </w:tr>
      <w:tr w:rsidR="00F60B5F" w:rsidRPr="00E0547B" w:rsidTr="00E0547B">
        <w:tc>
          <w:tcPr>
            <w:tcW w:w="2790" w:type="dxa"/>
            <w:tcBorders>
              <w:top w:val="nil"/>
              <w:left w:val="nil"/>
              <w:bottom w:val="nil"/>
              <w:right w:val="nil"/>
            </w:tcBorders>
          </w:tcPr>
          <w:p w:rsidR="00F60B5F" w:rsidRPr="00E0547B" w:rsidRDefault="00F60B5F" w:rsidP="00E0547B">
            <w:pPr>
              <w:pStyle w:val="Tabletext"/>
              <w:rPr>
                <w:rFonts w:eastAsiaTheme="minorEastAsia"/>
                <w:b/>
                <w:bCs/>
                <w:lang w:eastAsia="en-AU"/>
              </w:rPr>
            </w:pPr>
            <w:r w:rsidRPr="00E0547B">
              <w:rPr>
                <w:rFonts w:eastAsiaTheme="minorEastAsia"/>
                <w:b/>
                <w:bCs/>
                <w:lang w:eastAsia="en-AU"/>
              </w:rPr>
              <w:t>Net debt plus superannuation liability</w:t>
            </w:r>
          </w:p>
        </w:tc>
        <w:tc>
          <w:tcPr>
            <w:tcW w:w="994" w:type="dxa"/>
            <w:gridSpan w:val="3"/>
            <w:tcBorders>
              <w:top w:val="single" w:sz="6" w:space="0" w:color="auto"/>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45.0</w:t>
            </w:r>
          </w:p>
        </w:tc>
        <w:tc>
          <w:tcPr>
            <w:tcW w:w="994" w:type="dxa"/>
            <w:tcBorders>
              <w:top w:val="single" w:sz="6" w:space="0" w:color="auto"/>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46.3</w:t>
            </w:r>
          </w:p>
        </w:tc>
        <w:tc>
          <w:tcPr>
            <w:tcW w:w="994" w:type="dxa"/>
            <w:tcBorders>
              <w:top w:val="single" w:sz="6" w:space="0" w:color="auto"/>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48.0</w:t>
            </w:r>
          </w:p>
        </w:tc>
        <w:tc>
          <w:tcPr>
            <w:tcW w:w="994" w:type="dxa"/>
            <w:tcBorders>
              <w:top w:val="single" w:sz="6" w:space="0" w:color="auto"/>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46.7</w:t>
            </w:r>
          </w:p>
        </w:tc>
        <w:tc>
          <w:tcPr>
            <w:tcW w:w="994" w:type="dxa"/>
            <w:tcBorders>
              <w:top w:val="single" w:sz="6" w:space="0" w:color="auto"/>
              <w:left w:val="nil"/>
              <w:bottom w:val="nil"/>
              <w:right w:val="nil"/>
            </w:tcBorders>
          </w:tcPr>
          <w:p w:rsidR="00F60B5F" w:rsidRPr="00E0547B" w:rsidRDefault="00F60B5F" w:rsidP="00E0547B">
            <w:pPr>
              <w:pStyle w:val="TableofFigures"/>
              <w:rPr>
                <w:rFonts w:eastAsiaTheme="minorEastAsia"/>
                <w:b/>
                <w:bCs/>
                <w:lang w:eastAsia="en-AU"/>
              </w:rPr>
            </w:pPr>
            <w:r w:rsidRPr="00E0547B">
              <w:rPr>
                <w:rFonts w:eastAsiaTheme="minorEastAsia"/>
                <w:b/>
                <w:bCs/>
                <w:lang w:eastAsia="en-AU"/>
              </w:rPr>
              <w:t xml:space="preserve"> 45.0</w:t>
            </w:r>
          </w:p>
        </w:tc>
      </w:tr>
      <w:tr w:rsidR="00F60B5F" w:rsidRPr="00E0547B" w:rsidTr="00E0547B">
        <w:tc>
          <w:tcPr>
            <w:tcW w:w="2790" w:type="dxa"/>
            <w:tcBorders>
              <w:top w:val="nil"/>
              <w:left w:val="nil"/>
              <w:bottom w:val="nil"/>
              <w:right w:val="nil"/>
            </w:tcBorders>
          </w:tcPr>
          <w:p w:rsidR="00F60B5F" w:rsidRPr="00E0547B" w:rsidRDefault="00F60B5F" w:rsidP="00E0547B">
            <w:pPr>
              <w:pStyle w:val="Tabletext"/>
              <w:rPr>
                <w:rFonts w:eastAsiaTheme="minorEastAsia"/>
                <w:vertAlign w:val="superscript"/>
                <w:lang w:eastAsia="en-AU"/>
              </w:rPr>
            </w:pPr>
            <w:r w:rsidRPr="00E0547B">
              <w:rPr>
                <w:rFonts w:eastAsiaTheme="minorEastAsia"/>
                <w:lang w:eastAsia="en-AU"/>
              </w:rPr>
              <w:t xml:space="preserve">Other liabilities (net) </w:t>
            </w:r>
            <w:r w:rsidRPr="00E0547B">
              <w:rPr>
                <w:rFonts w:eastAsiaTheme="minorEastAsia"/>
                <w:vertAlign w:val="superscript"/>
                <w:lang w:eastAsia="en-AU"/>
              </w:rPr>
              <w:t>(b)</w:t>
            </w:r>
          </w:p>
        </w:tc>
        <w:tc>
          <w:tcPr>
            <w:tcW w:w="994" w:type="dxa"/>
            <w:gridSpan w:val="3"/>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6.7</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6.6</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6.4</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6.5</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6.5</w:t>
            </w:r>
          </w:p>
        </w:tc>
      </w:tr>
      <w:tr w:rsidR="00F60B5F" w:rsidRPr="00E0547B" w:rsidTr="00E0547B">
        <w:tc>
          <w:tcPr>
            <w:tcW w:w="2790" w:type="dxa"/>
            <w:tcBorders>
              <w:top w:val="single" w:sz="6" w:space="0" w:color="auto"/>
              <w:left w:val="nil"/>
              <w:bottom w:val="single" w:sz="6" w:space="0" w:color="auto"/>
              <w:right w:val="nil"/>
            </w:tcBorders>
          </w:tcPr>
          <w:p w:rsidR="00F60B5F" w:rsidRPr="00E0547B" w:rsidRDefault="00F60B5F" w:rsidP="00165450">
            <w:pPr>
              <w:pStyle w:val="Tabletext"/>
              <w:spacing w:before="20"/>
              <w:rPr>
                <w:rFonts w:eastAsiaTheme="minorEastAsia"/>
                <w:b/>
                <w:bCs/>
                <w:vertAlign w:val="superscript"/>
                <w:lang w:eastAsia="en-AU"/>
              </w:rPr>
            </w:pPr>
            <w:r w:rsidRPr="00E0547B">
              <w:rPr>
                <w:rFonts w:eastAsiaTheme="minorEastAsia"/>
                <w:b/>
                <w:bCs/>
                <w:lang w:eastAsia="en-AU"/>
              </w:rPr>
              <w:t xml:space="preserve">Net financial liabilities </w:t>
            </w:r>
            <w:r w:rsidRPr="00013E6C">
              <w:rPr>
                <w:rFonts w:eastAsiaTheme="minorEastAsia"/>
                <w:b/>
                <w:bCs/>
                <w:vertAlign w:val="superscript"/>
                <w:lang w:eastAsia="en-AU"/>
              </w:rPr>
              <w:t>(c)</w:t>
            </w:r>
          </w:p>
        </w:tc>
        <w:tc>
          <w:tcPr>
            <w:tcW w:w="994" w:type="dxa"/>
            <w:gridSpan w:val="3"/>
            <w:tcBorders>
              <w:top w:val="single" w:sz="6" w:space="0" w:color="auto"/>
              <w:left w:val="nil"/>
              <w:bottom w:val="single" w:sz="6" w:space="0" w:color="auto"/>
              <w:right w:val="nil"/>
            </w:tcBorders>
          </w:tcPr>
          <w:p w:rsidR="00F60B5F" w:rsidRPr="00E0547B" w:rsidRDefault="00F60B5F" w:rsidP="00165450">
            <w:pPr>
              <w:pStyle w:val="TableofFigures"/>
              <w:spacing w:before="20"/>
              <w:rPr>
                <w:rFonts w:eastAsiaTheme="minorEastAsia"/>
                <w:b/>
                <w:bCs/>
                <w:lang w:eastAsia="en-AU"/>
              </w:rPr>
            </w:pPr>
            <w:r w:rsidRPr="00E0547B">
              <w:rPr>
                <w:rFonts w:eastAsiaTheme="minorEastAsia"/>
                <w:b/>
                <w:bCs/>
                <w:lang w:eastAsia="en-AU"/>
              </w:rPr>
              <w:t xml:space="preserve"> 51.6</w:t>
            </w:r>
          </w:p>
        </w:tc>
        <w:tc>
          <w:tcPr>
            <w:tcW w:w="994" w:type="dxa"/>
            <w:tcBorders>
              <w:top w:val="single" w:sz="6" w:space="0" w:color="auto"/>
              <w:left w:val="nil"/>
              <w:bottom w:val="single" w:sz="6" w:space="0" w:color="auto"/>
              <w:right w:val="nil"/>
            </w:tcBorders>
          </w:tcPr>
          <w:p w:rsidR="00F60B5F" w:rsidRPr="00E0547B" w:rsidRDefault="00F60B5F" w:rsidP="00165450">
            <w:pPr>
              <w:pStyle w:val="TableofFigures"/>
              <w:spacing w:before="20"/>
              <w:rPr>
                <w:rFonts w:eastAsiaTheme="minorEastAsia"/>
                <w:b/>
                <w:bCs/>
                <w:lang w:eastAsia="en-AU"/>
              </w:rPr>
            </w:pPr>
            <w:r w:rsidRPr="00E0547B">
              <w:rPr>
                <w:rFonts w:eastAsiaTheme="minorEastAsia"/>
                <w:b/>
                <w:bCs/>
                <w:lang w:eastAsia="en-AU"/>
              </w:rPr>
              <w:t xml:space="preserve"> 52.9</w:t>
            </w:r>
          </w:p>
        </w:tc>
        <w:tc>
          <w:tcPr>
            <w:tcW w:w="994" w:type="dxa"/>
            <w:tcBorders>
              <w:top w:val="single" w:sz="6" w:space="0" w:color="auto"/>
              <w:left w:val="nil"/>
              <w:bottom w:val="single" w:sz="6" w:space="0" w:color="auto"/>
              <w:right w:val="nil"/>
            </w:tcBorders>
          </w:tcPr>
          <w:p w:rsidR="00F60B5F" w:rsidRPr="00E0547B" w:rsidRDefault="00F60B5F" w:rsidP="00165450">
            <w:pPr>
              <w:pStyle w:val="TableofFigures"/>
              <w:spacing w:before="20"/>
              <w:rPr>
                <w:rFonts w:eastAsiaTheme="minorEastAsia"/>
                <w:b/>
                <w:bCs/>
                <w:lang w:eastAsia="en-AU"/>
              </w:rPr>
            </w:pPr>
            <w:r w:rsidRPr="00E0547B">
              <w:rPr>
                <w:rFonts w:eastAsiaTheme="minorEastAsia"/>
                <w:b/>
                <w:bCs/>
                <w:lang w:eastAsia="en-AU"/>
              </w:rPr>
              <w:t xml:space="preserve"> 54.4</w:t>
            </w:r>
          </w:p>
        </w:tc>
        <w:tc>
          <w:tcPr>
            <w:tcW w:w="994" w:type="dxa"/>
            <w:tcBorders>
              <w:top w:val="single" w:sz="6" w:space="0" w:color="auto"/>
              <w:left w:val="nil"/>
              <w:bottom w:val="single" w:sz="6" w:space="0" w:color="auto"/>
              <w:right w:val="nil"/>
            </w:tcBorders>
          </w:tcPr>
          <w:p w:rsidR="00F60B5F" w:rsidRPr="00E0547B" w:rsidRDefault="00F60B5F" w:rsidP="00165450">
            <w:pPr>
              <w:pStyle w:val="TableofFigures"/>
              <w:spacing w:before="20"/>
              <w:rPr>
                <w:rFonts w:eastAsiaTheme="minorEastAsia"/>
                <w:b/>
                <w:bCs/>
                <w:lang w:eastAsia="en-AU"/>
              </w:rPr>
            </w:pPr>
            <w:r w:rsidRPr="00E0547B">
              <w:rPr>
                <w:rFonts w:eastAsiaTheme="minorEastAsia"/>
                <w:b/>
                <w:bCs/>
                <w:lang w:eastAsia="en-AU"/>
              </w:rPr>
              <w:t xml:space="preserve"> 53.2</w:t>
            </w:r>
          </w:p>
        </w:tc>
        <w:tc>
          <w:tcPr>
            <w:tcW w:w="994" w:type="dxa"/>
            <w:tcBorders>
              <w:top w:val="single" w:sz="6" w:space="0" w:color="auto"/>
              <w:left w:val="nil"/>
              <w:bottom w:val="single" w:sz="6" w:space="0" w:color="auto"/>
              <w:right w:val="nil"/>
            </w:tcBorders>
          </w:tcPr>
          <w:p w:rsidR="00F60B5F" w:rsidRPr="00E0547B" w:rsidRDefault="00F60B5F" w:rsidP="00165450">
            <w:pPr>
              <w:pStyle w:val="TableofFigures"/>
              <w:spacing w:before="20"/>
              <w:rPr>
                <w:rFonts w:eastAsiaTheme="minorEastAsia"/>
                <w:b/>
                <w:bCs/>
                <w:lang w:eastAsia="en-AU"/>
              </w:rPr>
            </w:pPr>
            <w:r w:rsidRPr="00E0547B">
              <w:rPr>
                <w:rFonts w:eastAsiaTheme="minorEastAsia"/>
                <w:b/>
                <w:bCs/>
                <w:lang w:eastAsia="en-AU"/>
              </w:rPr>
              <w:t xml:space="preserve"> 51.5</w:t>
            </w:r>
          </w:p>
        </w:tc>
      </w:tr>
      <w:tr w:rsidR="00F60B5F" w:rsidRPr="00E0547B" w:rsidTr="00E0547B">
        <w:trPr>
          <w:trHeight w:hRule="exact" w:val="120"/>
        </w:trPr>
        <w:tc>
          <w:tcPr>
            <w:tcW w:w="2790" w:type="dxa"/>
            <w:tcBorders>
              <w:top w:val="nil"/>
              <w:left w:val="nil"/>
              <w:bottom w:val="nil"/>
              <w:right w:val="nil"/>
            </w:tcBorders>
          </w:tcPr>
          <w:p w:rsidR="00F60B5F" w:rsidRPr="00E0547B" w:rsidRDefault="00F60B5F" w:rsidP="00E0547B">
            <w:pPr>
              <w:pStyle w:val="Tabletext"/>
              <w:rPr>
                <w:rFonts w:eastAsiaTheme="minorEastAsia"/>
                <w:lang w:eastAsia="en-AU"/>
              </w:rPr>
            </w:pPr>
            <w:r w:rsidRPr="00E0547B">
              <w:rPr>
                <w:rFonts w:eastAsiaTheme="minorEastAsia"/>
                <w:lang w:eastAsia="en-AU"/>
              </w:rPr>
              <w:t xml:space="preserve"> </w:t>
            </w:r>
          </w:p>
        </w:tc>
        <w:tc>
          <w:tcPr>
            <w:tcW w:w="994" w:type="dxa"/>
            <w:gridSpan w:val="3"/>
            <w:tcBorders>
              <w:top w:val="nil"/>
              <w:left w:val="nil"/>
              <w:bottom w:val="nil"/>
              <w:right w:val="nil"/>
            </w:tcBorders>
          </w:tcPr>
          <w:p w:rsidR="00F60B5F" w:rsidRPr="00E0547B" w:rsidRDefault="00F60B5F" w:rsidP="00E0547B">
            <w:pPr>
              <w:pStyle w:val="TableofFigures"/>
              <w:rPr>
                <w:rFonts w:eastAsiaTheme="minorEastAsia"/>
                <w:i/>
                <w:iCs/>
                <w:lang w:eastAsia="en-AU"/>
              </w:rPr>
            </w:pPr>
            <w:r w:rsidRPr="00E0547B">
              <w:rPr>
                <w:rFonts w:eastAsiaTheme="minorEastAsia"/>
                <w:i/>
                <w:iCs/>
                <w:lang w:eastAsia="en-AU"/>
              </w:rPr>
              <w:t xml:space="preserve"> </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w:t>
            </w:r>
          </w:p>
        </w:tc>
        <w:tc>
          <w:tcPr>
            <w:tcW w:w="994" w:type="dxa"/>
            <w:tcBorders>
              <w:top w:val="nil"/>
              <w:left w:val="nil"/>
              <w:bottom w:val="nil"/>
              <w:right w:val="nil"/>
            </w:tcBorders>
          </w:tcPr>
          <w:p w:rsidR="00F60B5F" w:rsidRPr="00E0547B" w:rsidRDefault="00F60B5F" w:rsidP="00E0547B">
            <w:pPr>
              <w:pStyle w:val="TableofFigures"/>
              <w:rPr>
                <w:rFonts w:eastAsiaTheme="minorEastAsia"/>
                <w:lang w:eastAsia="en-AU"/>
              </w:rPr>
            </w:pPr>
            <w:r w:rsidRPr="00E0547B">
              <w:rPr>
                <w:rFonts w:eastAsiaTheme="minorEastAsia"/>
                <w:lang w:eastAsia="en-AU"/>
              </w:rPr>
              <w:t xml:space="preserve">   </w:t>
            </w:r>
          </w:p>
        </w:tc>
      </w:tr>
      <w:tr w:rsidR="00F60B5F" w:rsidRPr="00E0547B" w:rsidTr="00E0547B">
        <w:tc>
          <w:tcPr>
            <w:tcW w:w="2790" w:type="dxa"/>
            <w:tcBorders>
              <w:top w:val="nil"/>
              <w:left w:val="nil"/>
              <w:bottom w:val="nil"/>
              <w:right w:val="nil"/>
            </w:tcBorders>
          </w:tcPr>
          <w:p w:rsidR="00F60B5F" w:rsidRPr="00E0547B" w:rsidRDefault="00F60B5F" w:rsidP="00E0547B">
            <w:pPr>
              <w:pStyle w:val="Tabletext"/>
              <w:rPr>
                <w:rFonts w:eastAsiaTheme="minorEastAsia"/>
                <w:b/>
                <w:bCs/>
                <w:vertAlign w:val="superscript"/>
                <w:lang w:eastAsia="en-AU"/>
              </w:rPr>
            </w:pPr>
            <w:r w:rsidRPr="00E0547B">
              <w:rPr>
                <w:rFonts w:eastAsiaTheme="minorEastAsia"/>
                <w:b/>
                <w:bCs/>
                <w:lang w:eastAsia="en-AU"/>
              </w:rPr>
              <w:t xml:space="preserve">Net debt to GSP </w:t>
            </w:r>
            <w:r w:rsidRPr="00E0547B">
              <w:rPr>
                <w:rFonts w:eastAsiaTheme="minorEastAsia"/>
                <w:b/>
                <w:bCs/>
                <w:vertAlign w:val="superscript"/>
                <w:lang w:eastAsia="en-AU"/>
              </w:rPr>
              <w:t>(d)</w:t>
            </w:r>
          </w:p>
        </w:tc>
        <w:tc>
          <w:tcPr>
            <w:tcW w:w="994" w:type="dxa"/>
            <w:gridSpan w:val="3"/>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5.9</w:t>
            </w:r>
          </w:p>
        </w:tc>
        <w:tc>
          <w:tcPr>
            <w:tcW w:w="994" w:type="dxa"/>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6.4</w:t>
            </w:r>
          </w:p>
        </w:tc>
        <w:tc>
          <w:tcPr>
            <w:tcW w:w="994" w:type="dxa"/>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6.7</w:t>
            </w:r>
          </w:p>
        </w:tc>
        <w:tc>
          <w:tcPr>
            <w:tcW w:w="994" w:type="dxa"/>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6.1</w:t>
            </w:r>
          </w:p>
        </w:tc>
        <w:tc>
          <w:tcPr>
            <w:tcW w:w="994" w:type="dxa"/>
            <w:tcBorders>
              <w:top w:val="nil"/>
              <w:left w:val="nil"/>
              <w:bottom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5.6</w:t>
            </w:r>
          </w:p>
        </w:tc>
      </w:tr>
      <w:tr w:rsidR="00F60B5F" w:rsidRPr="00E0547B" w:rsidTr="00E0547B">
        <w:tc>
          <w:tcPr>
            <w:tcW w:w="2790" w:type="dxa"/>
            <w:tcBorders>
              <w:top w:val="nil"/>
              <w:left w:val="nil"/>
              <w:right w:val="nil"/>
            </w:tcBorders>
          </w:tcPr>
          <w:p w:rsidR="00F60B5F" w:rsidRPr="00E0547B" w:rsidRDefault="00F60B5F" w:rsidP="00E0547B">
            <w:pPr>
              <w:pStyle w:val="Tabletext"/>
              <w:rPr>
                <w:rFonts w:eastAsiaTheme="minorEastAsia"/>
                <w:b/>
                <w:bCs/>
                <w:vertAlign w:val="superscript"/>
                <w:lang w:eastAsia="en-AU"/>
              </w:rPr>
            </w:pPr>
            <w:r w:rsidRPr="00E0547B">
              <w:rPr>
                <w:rFonts w:eastAsiaTheme="minorEastAsia"/>
                <w:b/>
                <w:bCs/>
                <w:lang w:eastAsia="en-AU"/>
              </w:rPr>
              <w:t xml:space="preserve">Net debt plus superannuation liability to GSP </w:t>
            </w:r>
            <w:r w:rsidRPr="00E0547B">
              <w:rPr>
                <w:rFonts w:eastAsiaTheme="minorEastAsia"/>
                <w:b/>
                <w:bCs/>
                <w:vertAlign w:val="superscript"/>
                <w:lang w:eastAsia="en-AU"/>
              </w:rPr>
              <w:t>(d)</w:t>
            </w:r>
          </w:p>
        </w:tc>
        <w:tc>
          <w:tcPr>
            <w:tcW w:w="994" w:type="dxa"/>
            <w:gridSpan w:val="3"/>
            <w:tcBorders>
              <w:top w:val="nil"/>
              <w:left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13.3</w:t>
            </w:r>
          </w:p>
        </w:tc>
        <w:tc>
          <w:tcPr>
            <w:tcW w:w="994" w:type="dxa"/>
            <w:tcBorders>
              <w:top w:val="nil"/>
              <w:left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13.1</w:t>
            </w:r>
          </w:p>
        </w:tc>
        <w:tc>
          <w:tcPr>
            <w:tcW w:w="994" w:type="dxa"/>
            <w:tcBorders>
              <w:top w:val="nil"/>
              <w:left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13.0</w:t>
            </w:r>
          </w:p>
        </w:tc>
        <w:tc>
          <w:tcPr>
            <w:tcW w:w="994" w:type="dxa"/>
            <w:tcBorders>
              <w:top w:val="nil"/>
              <w:left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12.0</w:t>
            </w:r>
          </w:p>
        </w:tc>
        <w:tc>
          <w:tcPr>
            <w:tcW w:w="994" w:type="dxa"/>
            <w:tcBorders>
              <w:top w:val="nil"/>
              <w:left w:val="nil"/>
              <w:right w:val="nil"/>
            </w:tcBorders>
          </w:tcPr>
          <w:p w:rsidR="00F60B5F" w:rsidRPr="00E0547B" w:rsidRDefault="00F60B5F" w:rsidP="00E0547B">
            <w:pPr>
              <w:pStyle w:val="TableofFigures"/>
              <w:rPr>
                <w:rFonts w:eastAsiaTheme="minorEastAsia"/>
                <w:b/>
                <w:lang w:eastAsia="en-AU"/>
              </w:rPr>
            </w:pPr>
            <w:r w:rsidRPr="00E0547B">
              <w:rPr>
                <w:rFonts w:eastAsiaTheme="minorEastAsia"/>
                <w:b/>
                <w:lang w:eastAsia="en-AU"/>
              </w:rPr>
              <w:t>11.0</w:t>
            </w:r>
          </w:p>
        </w:tc>
      </w:tr>
      <w:tr w:rsidR="00F60B5F" w:rsidRPr="00E0547B" w:rsidTr="00E0547B">
        <w:tc>
          <w:tcPr>
            <w:tcW w:w="2790" w:type="dxa"/>
            <w:tcBorders>
              <w:top w:val="nil"/>
              <w:left w:val="nil"/>
              <w:bottom w:val="single" w:sz="12" w:space="0" w:color="000000"/>
              <w:right w:val="nil"/>
            </w:tcBorders>
            <w:shd w:val="clear" w:color="auto" w:fill="auto"/>
          </w:tcPr>
          <w:p w:rsidR="00F60B5F" w:rsidRPr="00E0547B" w:rsidRDefault="00F60B5F" w:rsidP="00E0547B">
            <w:pPr>
              <w:pStyle w:val="Tabletext"/>
              <w:rPr>
                <w:rFonts w:eastAsiaTheme="minorEastAsia"/>
                <w:b/>
                <w:bCs/>
                <w:vertAlign w:val="superscript"/>
                <w:lang w:eastAsia="en-AU"/>
              </w:rPr>
            </w:pPr>
            <w:r w:rsidRPr="00E0547B">
              <w:rPr>
                <w:rFonts w:eastAsiaTheme="minorEastAsia"/>
                <w:b/>
                <w:bCs/>
                <w:lang w:eastAsia="en-AU"/>
              </w:rPr>
              <w:t xml:space="preserve">Net financial liabilities to GSP </w:t>
            </w:r>
            <w:r w:rsidRPr="00E0547B">
              <w:rPr>
                <w:rFonts w:eastAsiaTheme="minorEastAsia"/>
                <w:b/>
                <w:bCs/>
                <w:vertAlign w:val="superscript"/>
                <w:lang w:eastAsia="en-AU"/>
              </w:rPr>
              <w:t>(d)</w:t>
            </w:r>
          </w:p>
        </w:tc>
        <w:tc>
          <w:tcPr>
            <w:tcW w:w="994" w:type="dxa"/>
            <w:gridSpan w:val="3"/>
            <w:tcBorders>
              <w:top w:val="nil"/>
              <w:left w:val="nil"/>
              <w:bottom w:val="single" w:sz="12" w:space="0" w:color="000000"/>
              <w:right w:val="nil"/>
            </w:tcBorders>
            <w:shd w:val="clear" w:color="auto" w:fill="auto"/>
          </w:tcPr>
          <w:p w:rsidR="00F60B5F" w:rsidRPr="00E0547B" w:rsidRDefault="00F60B5F" w:rsidP="00E0547B">
            <w:pPr>
              <w:pStyle w:val="TableofFigures"/>
              <w:rPr>
                <w:rFonts w:eastAsiaTheme="minorEastAsia"/>
                <w:b/>
                <w:lang w:eastAsia="en-AU"/>
              </w:rPr>
            </w:pPr>
            <w:r w:rsidRPr="00E0547B">
              <w:rPr>
                <w:rFonts w:eastAsiaTheme="minorEastAsia"/>
                <w:b/>
                <w:lang w:eastAsia="en-AU"/>
              </w:rPr>
              <w:t>15.3</w:t>
            </w:r>
          </w:p>
        </w:tc>
        <w:tc>
          <w:tcPr>
            <w:tcW w:w="994" w:type="dxa"/>
            <w:tcBorders>
              <w:top w:val="nil"/>
              <w:left w:val="nil"/>
              <w:bottom w:val="single" w:sz="12" w:space="0" w:color="000000"/>
              <w:right w:val="nil"/>
            </w:tcBorders>
            <w:shd w:val="clear" w:color="auto" w:fill="auto"/>
          </w:tcPr>
          <w:p w:rsidR="00F60B5F" w:rsidRPr="00E0547B" w:rsidRDefault="00F60B5F" w:rsidP="00E0547B">
            <w:pPr>
              <w:pStyle w:val="TableofFigures"/>
              <w:rPr>
                <w:rFonts w:eastAsiaTheme="minorEastAsia"/>
                <w:b/>
                <w:lang w:eastAsia="en-AU"/>
              </w:rPr>
            </w:pPr>
            <w:r w:rsidRPr="00E0547B">
              <w:rPr>
                <w:rFonts w:eastAsiaTheme="minorEastAsia"/>
                <w:b/>
                <w:lang w:eastAsia="en-AU"/>
              </w:rPr>
              <w:t>15.0</w:t>
            </w:r>
          </w:p>
        </w:tc>
        <w:tc>
          <w:tcPr>
            <w:tcW w:w="994" w:type="dxa"/>
            <w:tcBorders>
              <w:top w:val="nil"/>
              <w:left w:val="nil"/>
              <w:bottom w:val="single" w:sz="12" w:space="0" w:color="000000"/>
              <w:right w:val="nil"/>
            </w:tcBorders>
            <w:shd w:val="clear" w:color="auto" w:fill="auto"/>
          </w:tcPr>
          <w:p w:rsidR="00F60B5F" w:rsidRPr="00E0547B" w:rsidRDefault="00F60B5F" w:rsidP="00E0547B">
            <w:pPr>
              <w:pStyle w:val="TableofFigures"/>
              <w:rPr>
                <w:rFonts w:eastAsiaTheme="minorEastAsia"/>
                <w:b/>
                <w:lang w:eastAsia="en-AU"/>
              </w:rPr>
            </w:pPr>
            <w:r w:rsidRPr="00E0547B">
              <w:rPr>
                <w:rFonts w:eastAsiaTheme="minorEastAsia"/>
                <w:b/>
                <w:lang w:eastAsia="en-AU"/>
              </w:rPr>
              <w:t>14.7</w:t>
            </w:r>
          </w:p>
        </w:tc>
        <w:tc>
          <w:tcPr>
            <w:tcW w:w="994" w:type="dxa"/>
            <w:tcBorders>
              <w:top w:val="nil"/>
              <w:left w:val="nil"/>
              <w:bottom w:val="single" w:sz="12" w:space="0" w:color="000000"/>
              <w:right w:val="nil"/>
            </w:tcBorders>
            <w:shd w:val="clear" w:color="auto" w:fill="auto"/>
          </w:tcPr>
          <w:p w:rsidR="00F60B5F" w:rsidRPr="00E0547B" w:rsidRDefault="00F60B5F" w:rsidP="00E0547B">
            <w:pPr>
              <w:pStyle w:val="TableofFigures"/>
              <w:rPr>
                <w:rFonts w:eastAsiaTheme="minorEastAsia"/>
                <w:b/>
                <w:lang w:eastAsia="en-AU"/>
              </w:rPr>
            </w:pPr>
            <w:r w:rsidRPr="00E0547B">
              <w:rPr>
                <w:rFonts w:eastAsiaTheme="minorEastAsia"/>
                <w:b/>
                <w:lang w:eastAsia="en-AU"/>
              </w:rPr>
              <w:t>13.6</w:t>
            </w:r>
          </w:p>
        </w:tc>
        <w:tc>
          <w:tcPr>
            <w:tcW w:w="994" w:type="dxa"/>
            <w:tcBorders>
              <w:top w:val="nil"/>
              <w:left w:val="nil"/>
              <w:bottom w:val="single" w:sz="12" w:space="0" w:color="000000"/>
              <w:right w:val="nil"/>
            </w:tcBorders>
            <w:shd w:val="clear" w:color="auto" w:fill="auto"/>
          </w:tcPr>
          <w:p w:rsidR="00F60B5F" w:rsidRPr="00E0547B" w:rsidRDefault="00F60B5F" w:rsidP="00E0547B">
            <w:pPr>
              <w:pStyle w:val="TableofFigures"/>
              <w:rPr>
                <w:rFonts w:eastAsiaTheme="minorEastAsia"/>
                <w:b/>
                <w:lang w:eastAsia="en-AU"/>
              </w:rPr>
            </w:pPr>
            <w:r w:rsidRPr="00E0547B">
              <w:rPr>
                <w:rFonts w:eastAsiaTheme="minorEastAsia"/>
                <w:b/>
                <w:lang w:eastAsia="en-AU"/>
              </w:rPr>
              <w:t>12.5</w:t>
            </w:r>
          </w:p>
        </w:tc>
      </w:tr>
    </w:tbl>
    <w:p w:rsidR="00F60B5F" w:rsidRDefault="00F60B5F" w:rsidP="004C49C2">
      <w:pPr>
        <w:pStyle w:val="Source"/>
      </w:pPr>
      <w:r w:rsidRPr="00D7423E">
        <w:t>Source: Department of Treasury and Finance</w:t>
      </w:r>
    </w:p>
    <w:p w:rsidR="00F60B5F" w:rsidRPr="00D7423E" w:rsidRDefault="00F60B5F" w:rsidP="00CC4CE3">
      <w:pPr>
        <w:pStyle w:val="Notes"/>
      </w:pPr>
      <w:r w:rsidRPr="00D7423E">
        <w:t>Notes:</w:t>
      </w:r>
    </w:p>
    <w:p w:rsidR="00F60B5F" w:rsidRDefault="00F60B5F" w:rsidP="001D0F92">
      <w:pPr>
        <w:pStyle w:val="Notes"/>
      </w:pPr>
      <w:r w:rsidRPr="003D1191">
        <w:t>(a)</w:t>
      </w:r>
      <w:r w:rsidRPr="003D1191">
        <w:tab/>
      </w:r>
      <w:r>
        <w:t>Net debt is the sum of deposits held, advances received and borrowings less the sum of cash, deposits, advances paid and investments, loans and placements.</w:t>
      </w:r>
    </w:p>
    <w:p w:rsidR="00F60B5F" w:rsidRDefault="00F60B5F" w:rsidP="00CC4CE3">
      <w:pPr>
        <w:pStyle w:val="Notes"/>
      </w:pPr>
      <w:r>
        <w:t>(b)</w:t>
      </w:r>
      <w:r>
        <w:tab/>
        <w:t>Includes other employee benefits and provisions, payables and other liabilities less other non</w:t>
      </w:r>
      <w:r>
        <w:noBreakHyphen/>
        <w:t>equity financial assets.</w:t>
      </w:r>
    </w:p>
    <w:p w:rsidR="00F60B5F" w:rsidRDefault="00F60B5F" w:rsidP="00CC4CE3">
      <w:pPr>
        <w:pStyle w:val="Notes"/>
      </w:pPr>
      <w:r w:rsidRPr="00150589">
        <w:t>(</w:t>
      </w:r>
      <w:r>
        <w:t>c</w:t>
      </w:r>
      <w:r w:rsidRPr="00150589">
        <w:t>)</w:t>
      </w:r>
      <w:r w:rsidRPr="00150589">
        <w:tab/>
      </w:r>
      <w:r>
        <w:t>Net financial liabilities is the sum of superannuation, borrowings and other net liabilities less non</w:t>
      </w:r>
      <w:r>
        <w:noBreakHyphen/>
        <w:t>equity financial assets</w:t>
      </w:r>
      <w:r w:rsidRPr="00D7423E">
        <w:t>.</w:t>
      </w:r>
    </w:p>
    <w:p w:rsidR="00F60B5F" w:rsidRPr="00D7423E" w:rsidRDefault="00F60B5F" w:rsidP="00CC4CE3">
      <w:pPr>
        <w:pStyle w:val="Notes"/>
      </w:pPr>
      <w:r>
        <w:t>(d)</w:t>
      </w:r>
      <w:r>
        <w:tab/>
        <w:t>Ratios to GSP may vary from publications year to year due to revisions made by the ABS to its published GSP data.</w:t>
      </w:r>
    </w:p>
    <w:p w:rsidR="00F60B5F" w:rsidRDefault="00F60B5F" w:rsidP="00CC4CE3">
      <w:pPr>
        <w:pStyle w:val="Notes"/>
      </w:pPr>
    </w:p>
    <w:p w:rsidR="00F60B5F" w:rsidRPr="006A5F58" w:rsidRDefault="00F60B5F" w:rsidP="00DF3439">
      <w:pPr>
        <w:pStyle w:val="Heading2"/>
      </w:pPr>
      <w:r>
        <w:t xml:space="preserve">Fiscal risks </w:t>
      </w:r>
    </w:p>
    <w:p w:rsidR="00F60B5F" w:rsidRPr="00BC188F" w:rsidRDefault="00F60B5F" w:rsidP="00CC4CE3">
      <w:r>
        <w:t>This section considers a number of known risks, which if realised are likely to impact on the State’s financial position and budget outcomes.</w:t>
      </w:r>
    </w:p>
    <w:p w:rsidR="00F60B5F" w:rsidRDefault="00F60B5F" w:rsidP="00CC4CE3">
      <w:pPr>
        <w:pStyle w:val="Heading3"/>
      </w:pPr>
      <w:r>
        <w:t>Revenue risks</w:t>
      </w:r>
    </w:p>
    <w:p w:rsidR="00F60B5F" w:rsidRDefault="00F60B5F" w:rsidP="00CC4CE3">
      <w:pPr>
        <w:pStyle w:val="Heading4"/>
      </w:pPr>
      <w:r>
        <w:t>State taxes</w:t>
      </w:r>
    </w:p>
    <w:p w:rsidR="00F60B5F" w:rsidRDefault="00F60B5F" w:rsidP="003A72DA">
      <w:r w:rsidRPr="00441FC8">
        <w:t>State tax forecasts are primarily based on an estimated relationship between taxation revenue and projected economic variables. As a result, the main source of risk to the taxation estimates is the economic environment.</w:t>
      </w:r>
    </w:p>
    <w:p w:rsidR="00F60B5F" w:rsidRDefault="00F60B5F">
      <w:pPr>
        <w:spacing w:after="0"/>
      </w:pPr>
      <w:r>
        <w:br w:type="page"/>
      </w:r>
    </w:p>
    <w:p w:rsidR="00F60B5F" w:rsidRPr="00441FC8" w:rsidRDefault="00F60B5F" w:rsidP="00CC4CE3">
      <w:r w:rsidRPr="00441FC8">
        <w:t xml:space="preserve">For example, higher than expected economic activity or inflation will tend to lead to higher taxation revenue. Specific economic risks are presented in Chapter 2 </w:t>
      </w:r>
      <w:r w:rsidRPr="00441FC8">
        <w:rPr>
          <w:i/>
        </w:rPr>
        <w:t>Economic context</w:t>
      </w:r>
      <w:r w:rsidRPr="00441FC8">
        <w:t xml:space="preserve"> and the fiscal implications of variations in economic parameters from forecast are considered in Appendix </w:t>
      </w:r>
      <w:r>
        <w:t>D</w:t>
      </w:r>
      <w:r w:rsidRPr="00441FC8">
        <w:t xml:space="preserve"> </w:t>
      </w:r>
      <w:r w:rsidRPr="00441FC8">
        <w:rPr>
          <w:i/>
        </w:rPr>
        <w:t>Sensitivity analysis</w:t>
      </w:r>
      <w:r w:rsidRPr="00441FC8">
        <w:t>.</w:t>
      </w:r>
    </w:p>
    <w:p w:rsidR="00F60B5F" w:rsidRDefault="00F60B5F" w:rsidP="00CC4CE3">
      <w:r w:rsidRPr="00441FC8">
        <w:t xml:space="preserve">There is also the risk of changes in the relationship between the economic variables and taxation revenue (such as between consumer spending and motor vehicle taxes, or between employment and payroll tax). Some state taxes, such as stamp duty on land transfers, are sourced from </w:t>
      </w:r>
      <w:r>
        <w:t xml:space="preserve">relatively volatile </w:t>
      </w:r>
      <w:r w:rsidRPr="00441FC8">
        <w:t>tax bases, and revenue from these sources may be subject to substantial annual variation.</w:t>
      </w:r>
    </w:p>
    <w:p w:rsidR="00F60B5F" w:rsidRDefault="00F60B5F" w:rsidP="00CC4CE3">
      <w:pPr>
        <w:pStyle w:val="Heading4"/>
      </w:pPr>
      <w:r>
        <w:t>Commonwealth grants</w:t>
      </w:r>
    </w:p>
    <w:p w:rsidR="00F60B5F" w:rsidRPr="00441FC8" w:rsidRDefault="00F60B5F" w:rsidP="00CC4CE3">
      <w:r w:rsidRPr="00441FC8">
        <w:t>The distribution of GST grants between states and territories is determined by the size of the GST national pool and each state or territory’s population share weighted by its GST relativities, as informed by recommendations of the Commonwealth Grants Commission (CGC). Any changes to national economic conditions will affect the GST national pool, while changes to the CGC’s methodology, changing fiscal circumstances of any state or territory or revisions to data used by the CGC could material</w:t>
      </w:r>
      <w:r>
        <w:t>ly</w:t>
      </w:r>
      <w:r w:rsidRPr="00441FC8">
        <w:t xml:space="preserve"> change Victoria’s share of the pool. Revisions to historical data may be significant in the CGC’s </w:t>
      </w:r>
      <w:r w:rsidRPr="00441FC8">
        <w:rPr>
          <w:i/>
        </w:rPr>
        <w:t>2014 Update</w:t>
      </w:r>
      <w:r w:rsidRPr="00441FC8">
        <w:t xml:space="preserve"> as the Australian Bureau of Statistics continues to update its social and demographic statistics as a result of the 2011 census.</w:t>
      </w:r>
    </w:p>
    <w:p w:rsidR="00F60B5F" w:rsidRDefault="00F60B5F" w:rsidP="00CC4CE3">
      <w:r w:rsidRPr="00BC54E7">
        <w:t>The level of specific purpose payments is determined by funding arrangements agreed by the Council of Australian Governments and the level of National Partnership funding received is often subject to the State achieving certain performance benchmarks. Decisions of the Commonwealth Government outside these agreements can also substantially alter the ongoing provision or phasing of payments under individual agreements, with significant revenue implications in a given financial period</w:t>
      </w:r>
      <w:r>
        <w:t>.</w:t>
      </w:r>
    </w:p>
    <w:p w:rsidR="00F60B5F" w:rsidRDefault="00F60B5F" w:rsidP="00CC4CE3">
      <w:r w:rsidRPr="00BC54E7">
        <w:t xml:space="preserve">The National Health Reform Agreement, National Disability Insurance Scheme and Better Schools Agreement are a new type of funding arrangement under which state and Commonwealth funding contributions </w:t>
      </w:r>
      <w:r>
        <w:t xml:space="preserve">are </w:t>
      </w:r>
      <w:r w:rsidRPr="00BC54E7">
        <w:t>determined by a product of price and the level of service activity. This method of funding creates additional risks to government from variations in demand and cost parameters. Any variability in activity can have a significant impact on Victoria's required contribution and payments from the Commonwealth. Movements in activity and costs in these new arrangements can have a significant impact on Victoria's budget flexibility</w:t>
      </w:r>
      <w:r>
        <w:t>.</w:t>
      </w:r>
    </w:p>
    <w:p w:rsidR="00F60B5F" w:rsidRDefault="00F60B5F" w:rsidP="00CC4CE3">
      <w:pPr>
        <w:pStyle w:val="Heading3"/>
      </w:pPr>
      <w:r>
        <w:t>Expenditure risks</w:t>
      </w:r>
    </w:p>
    <w:p w:rsidR="00F60B5F" w:rsidRDefault="00F60B5F" w:rsidP="003A72DA">
      <w:r w:rsidRPr="00787889">
        <w:t xml:space="preserve">Employee expenses are the </w:t>
      </w:r>
      <w:r>
        <w:t xml:space="preserve">State’s </w:t>
      </w:r>
      <w:r w:rsidRPr="00787889">
        <w:t xml:space="preserve">largest expense. Major enterprise bargaining agreements are a significant driver of this expense. If the related costs above the guideline rate are not offset by genuine productivity gains, this will increase expenditure. </w:t>
      </w:r>
    </w:p>
    <w:p w:rsidR="00F60B5F" w:rsidRPr="00787889" w:rsidRDefault="00F60B5F" w:rsidP="00CC4CE3">
      <w:r w:rsidRPr="00787889">
        <w:t>Another key risk is growth in demand for government services exceed</w:t>
      </w:r>
      <w:r>
        <w:t>ing current projections. This can occur,</w:t>
      </w:r>
      <w:r w:rsidRPr="00787889">
        <w:t xml:space="preserve"> for example, as a result of higher population growth or expenditure in response to unforeseen events such as natural disasters, including bushfires and floods.</w:t>
      </w:r>
    </w:p>
    <w:p w:rsidR="00F60B5F" w:rsidRPr="00787889" w:rsidRDefault="00F60B5F" w:rsidP="00CC4CE3">
      <w:r w:rsidRPr="00787889">
        <w:t xml:space="preserve">The </w:t>
      </w:r>
      <w:r w:rsidRPr="00787889">
        <w:rPr>
          <w:i/>
        </w:rPr>
        <w:t>2013</w:t>
      </w:r>
      <w:r>
        <w:rPr>
          <w:i/>
        </w:rPr>
        <w:noBreakHyphen/>
      </w:r>
      <w:r w:rsidRPr="00787889">
        <w:rPr>
          <w:i/>
        </w:rPr>
        <w:t>14 Budget</w:t>
      </w:r>
      <w:r>
        <w:rPr>
          <w:i/>
        </w:rPr>
        <w:t xml:space="preserve"> Update</w:t>
      </w:r>
      <w:r w:rsidRPr="00787889">
        <w:rPr>
          <w:i/>
        </w:rPr>
        <w:t xml:space="preserve"> </w:t>
      </w:r>
      <w:r w:rsidRPr="00787889">
        <w:t xml:space="preserve">includes a contingency provision to mitigate the impact of expenditure risks which may be realised during the budget </w:t>
      </w:r>
      <w:r>
        <w:t>and</w:t>
      </w:r>
      <w:r w:rsidRPr="00787889">
        <w:t xml:space="preserve"> forward estimates period. The contingency provision also includes a general allowance for likely growth in Victoria</w:t>
      </w:r>
      <w:r>
        <w:t>’</w:t>
      </w:r>
      <w:r w:rsidRPr="00787889">
        <w:t xml:space="preserve">s population, and consequent derived demand for government services. Realised expenditure risks will affect total expenditure and the annual budget position to the extent they exceed the contingency provision factored into the estimates. The aggregate level of operating contingency provision is shown in Note 12 of </w:t>
      </w:r>
      <w:r>
        <w:t>Chapter 5</w:t>
      </w:r>
      <w:r w:rsidRPr="00563F91">
        <w:t xml:space="preserve"> </w:t>
      </w:r>
      <w:r w:rsidRPr="00563F91">
        <w:rPr>
          <w:i/>
        </w:rPr>
        <w:t xml:space="preserve">Estimated financial statements </w:t>
      </w:r>
      <w:r>
        <w:rPr>
          <w:i/>
        </w:rPr>
        <w:t>and notes</w:t>
      </w:r>
      <w:r>
        <w:t>.</w:t>
      </w:r>
    </w:p>
    <w:p w:rsidR="00F60B5F" w:rsidRPr="00787889" w:rsidRDefault="00F60B5F" w:rsidP="00CC4CE3">
      <w:r>
        <w:t>The forward estimate years</w:t>
      </w:r>
      <w:r w:rsidRPr="00787889">
        <w:t xml:space="preserve"> also include an unallocated capital provision to provide capacity for future asset investment requirements. Given the size and complexity of the capital program, there are likely to be </w:t>
      </w:r>
      <w:r>
        <w:t xml:space="preserve">positive and negative </w:t>
      </w:r>
      <w:r w:rsidRPr="00787889">
        <w:t xml:space="preserve">variations in actual costs (compared with budgets) for individual asset investment projects. However, the budget and forward estimates </w:t>
      </w:r>
      <w:r>
        <w:t xml:space="preserve">period </w:t>
      </w:r>
      <w:r w:rsidRPr="00787889">
        <w:t>assume</w:t>
      </w:r>
      <w:r>
        <w:t>s</w:t>
      </w:r>
      <w:r w:rsidRPr="00787889">
        <w:t xml:space="preserve"> that capital cost pressures are managed within existing financial estimates. Management of capital cost pressures may occur by:</w:t>
      </w:r>
    </w:p>
    <w:p w:rsidR="00F60B5F" w:rsidRPr="00787889" w:rsidRDefault="00F60B5F" w:rsidP="00CC4CE3">
      <w:pPr>
        <w:pStyle w:val="BulletText"/>
      </w:pPr>
      <w:r w:rsidRPr="00096A4C">
        <w:t>reallocating</w:t>
      </w:r>
      <w:r w:rsidRPr="00787889">
        <w:t xml:space="preserve"> existing departmental resources within </w:t>
      </w:r>
      <w:r>
        <w:t xml:space="preserve">a </w:t>
      </w:r>
      <w:r w:rsidRPr="00787889">
        <w:t>department</w:t>
      </w:r>
      <w:r>
        <w:t>’</w:t>
      </w:r>
      <w:r w:rsidRPr="00787889">
        <w:t>s global capital budget (reflecting the likelihood that cost overruns on some projects will be offset by cost underruns in other areas); or</w:t>
      </w:r>
    </w:p>
    <w:p w:rsidR="00F60B5F" w:rsidRDefault="00F60B5F" w:rsidP="00CC4CE3">
      <w:pPr>
        <w:pStyle w:val="BulletText"/>
      </w:pPr>
      <w:r w:rsidRPr="00787889">
        <w:t>re</w:t>
      </w:r>
      <w:r>
        <w:noBreakHyphen/>
      </w:r>
      <w:r w:rsidRPr="00787889">
        <w:t>scoping projects to fit within funding parameters; or</w:t>
      </w:r>
    </w:p>
    <w:p w:rsidR="00F60B5F" w:rsidRDefault="00F60B5F" w:rsidP="00CC4CE3">
      <w:pPr>
        <w:pStyle w:val="BulletText"/>
      </w:pPr>
      <w:r w:rsidRPr="00787889">
        <w:t xml:space="preserve">funding projects from the unallocated capital </w:t>
      </w:r>
      <w:r>
        <w:t>provision that provides capacity for future asset investments</w:t>
      </w:r>
      <w:r w:rsidRPr="00787889">
        <w:t>.</w:t>
      </w:r>
    </w:p>
    <w:p w:rsidR="00F60B5F" w:rsidRPr="00F60B5F" w:rsidRDefault="00F60B5F" w:rsidP="00F60B5F">
      <w:pPr>
        <w:pStyle w:val="Heading2"/>
      </w:pPr>
      <w:r w:rsidRPr="00F60B5F">
        <w:t xml:space="preserve">Specific fiscal risks </w:t>
      </w:r>
    </w:p>
    <w:p w:rsidR="00F60B5F" w:rsidRPr="00D32D80" w:rsidRDefault="00F60B5F" w:rsidP="00CC4CE3">
      <w:pPr>
        <w:pStyle w:val="Heading3"/>
      </w:pPr>
      <w:r>
        <w:t>Better schools plan heads of agreement</w:t>
      </w:r>
    </w:p>
    <w:p w:rsidR="00F60B5F" w:rsidRDefault="00F60B5F" w:rsidP="00CC4CE3">
      <w:pPr>
        <w:rPr>
          <w:lang w:eastAsia="en-AU"/>
        </w:rPr>
      </w:pPr>
      <w:r w:rsidRPr="00806D2E">
        <w:rPr>
          <w:lang w:eastAsia="en-AU"/>
        </w:rPr>
        <w:t xml:space="preserve">In August 2013, Victoria signed a six year Heads of Agreement on National Education Reform with the previous Commonwealth Government. The new Commonwealth Government has indicated it is committed to funding </w:t>
      </w:r>
      <w:r>
        <w:rPr>
          <w:lang w:eastAsia="en-AU"/>
        </w:rPr>
        <w:t>over the budget and forward estimates period</w:t>
      </w:r>
      <w:r w:rsidRPr="00806D2E">
        <w:rPr>
          <w:lang w:eastAsia="en-AU"/>
        </w:rPr>
        <w:t>. Victoria is in the process of confirming its un</w:t>
      </w:r>
      <w:r>
        <w:rPr>
          <w:lang w:eastAsia="en-AU"/>
        </w:rPr>
        <w:t>derstanding of the Commonwealth’</w:t>
      </w:r>
      <w:r w:rsidRPr="00806D2E">
        <w:rPr>
          <w:lang w:eastAsia="en-AU"/>
        </w:rPr>
        <w:t>s school funding commitments.</w:t>
      </w:r>
    </w:p>
    <w:p w:rsidR="00F60B5F" w:rsidRPr="00787889" w:rsidRDefault="00F60B5F" w:rsidP="00CC4CE3">
      <w:pPr>
        <w:pStyle w:val="Heading3"/>
      </w:pPr>
      <w:r w:rsidRPr="00787889">
        <w:t>National Injury Insurance Scheme</w:t>
      </w:r>
    </w:p>
    <w:p w:rsidR="00F60B5F" w:rsidRPr="00787889" w:rsidRDefault="00F60B5F" w:rsidP="00CC4CE3">
      <w:r w:rsidRPr="00787889">
        <w:t xml:space="preserve">The Commonwealth Government expects </w:t>
      </w:r>
      <w:r>
        <w:t>the State</w:t>
      </w:r>
      <w:r w:rsidRPr="00787889">
        <w:t xml:space="preserve"> to fund the total cost </w:t>
      </w:r>
      <w:r>
        <w:t xml:space="preserve">in Victoria </w:t>
      </w:r>
      <w:r w:rsidRPr="00787889">
        <w:t>of a National Injury</w:t>
      </w:r>
      <w:r>
        <w:t xml:space="preserve"> Insurance Scheme, to support</w:t>
      </w:r>
      <w:r w:rsidRPr="00787889">
        <w:t xml:space="preserve"> people who suffer catastrophic injuries. If fully implemented, the Productivity Commission estimated that the National Injury Insurance Scheme could cost Victoria around an additional $145</w:t>
      </w:r>
      <w:r>
        <w:t> million</w:t>
      </w:r>
      <w:r w:rsidRPr="00787889">
        <w:t xml:space="preserve"> each year (in 2010</w:t>
      </w:r>
      <w:r>
        <w:noBreakHyphen/>
      </w:r>
      <w:r w:rsidRPr="00787889">
        <w:t>11 dollars).</w:t>
      </w:r>
    </w:p>
    <w:p w:rsidR="00F60B5F" w:rsidRDefault="00F60B5F">
      <w:pPr>
        <w:spacing w:after="0"/>
        <w:rPr>
          <w:rFonts w:ascii="Calibri" w:hAnsi="Calibri"/>
          <w:b/>
          <w:i/>
          <w:kern w:val="28"/>
          <w:sz w:val="24"/>
          <w:szCs w:val="22"/>
        </w:rPr>
      </w:pPr>
      <w:r>
        <w:br w:type="page"/>
      </w:r>
    </w:p>
    <w:p w:rsidR="00F60B5F" w:rsidRPr="00BC54E7" w:rsidRDefault="00F60B5F" w:rsidP="00BC54E7">
      <w:pPr>
        <w:pStyle w:val="Heading3"/>
      </w:pPr>
      <w:r w:rsidRPr="00787889">
        <w:t>Superannuation contributions</w:t>
      </w:r>
    </w:p>
    <w:p w:rsidR="00F60B5F" w:rsidRPr="0091201E" w:rsidRDefault="00F60B5F" w:rsidP="00CC4CE3">
      <w:r w:rsidRPr="0091201E">
        <w:t>In March 2012, the former Commonwealth Government amended the Superannuation Guarantee (SG) legislation to provide for a series of increases in the rate of compulsory employer contributions. Consequently, from 1 July 2013 the SG rate increased from 9</w:t>
      </w:r>
      <w:r>
        <w:t> per cent</w:t>
      </w:r>
      <w:r w:rsidRPr="0091201E">
        <w:t xml:space="preserve"> to 9.25</w:t>
      </w:r>
      <w:r>
        <w:t> per cent</w:t>
      </w:r>
      <w:r w:rsidRPr="0091201E">
        <w:t xml:space="preserve"> and further increases will result in the SG rate ultimately reaching 12</w:t>
      </w:r>
      <w:r>
        <w:t xml:space="preserve"> per cent. </w:t>
      </w:r>
      <w:r w:rsidRPr="0091201E">
        <w:t xml:space="preserve">It is currently legislated that this target rate will be attained from 1 July 2019 but the current Commonwealth Government has indicated that </w:t>
      </w:r>
      <w:r>
        <w:t>i</w:t>
      </w:r>
      <w:r w:rsidRPr="0091201E">
        <w:t>t will defer this by two years.</w:t>
      </w:r>
    </w:p>
    <w:p w:rsidR="00F60B5F" w:rsidRDefault="00F60B5F" w:rsidP="00CC4CE3">
      <w:r w:rsidRPr="0091201E">
        <w:t>The Public Sector Workplace Relations Policies (2012) stipulated that in complying with wages policy, all agreed wage outcomes need to take into account employer superannuation guarantee contributions</w:t>
      </w:r>
      <w:r>
        <w:t>.</w:t>
      </w:r>
    </w:p>
    <w:p w:rsidR="00F60B5F" w:rsidRPr="00787889" w:rsidRDefault="00F60B5F" w:rsidP="00CC4CE3">
      <w:pPr>
        <w:pStyle w:val="Heading3"/>
      </w:pPr>
      <w:r w:rsidRPr="00787889">
        <w:t>Social and community services sector pay equity case</w:t>
      </w:r>
    </w:p>
    <w:p w:rsidR="00F60B5F" w:rsidRDefault="00F60B5F" w:rsidP="00A02592">
      <w:r w:rsidRPr="00787889">
        <w:t>Fair Work Australia handed down its decision in the social and community sector equal remuneration case on 1 February 2012. The Victorian Government has committed to fund its share of the wage increase, to the value of $200</w:t>
      </w:r>
      <w:r>
        <w:t> million</w:t>
      </w:r>
      <w:r w:rsidRPr="00787889">
        <w:t>. Supplementation for 2012</w:t>
      </w:r>
      <w:r>
        <w:noBreakHyphen/>
      </w:r>
      <w:r w:rsidRPr="00787889">
        <w:t xml:space="preserve">13 </w:t>
      </w:r>
      <w:r>
        <w:t>and 2013</w:t>
      </w:r>
      <w:r>
        <w:noBreakHyphen/>
        <w:t xml:space="preserve">14 is being </w:t>
      </w:r>
      <w:r w:rsidRPr="00787889">
        <w:t>provided to affected non</w:t>
      </w:r>
      <w:r>
        <w:noBreakHyphen/>
        <w:t>government organisations</w:t>
      </w:r>
      <w:r w:rsidRPr="00787889">
        <w:t xml:space="preserve"> enabling them to pay their staff in accordance with t</w:t>
      </w:r>
      <w:r>
        <w:t>he Fair Work Australia decision</w:t>
      </w:r>
      <w:r w:rsidRPr="00787889">
        <w:t>.</w:t>
      </w:r>
    </w:p>
    <w:p w:rsidR="00F60B5F" w:rsidRDefault="00F60B5F" w:rsidP="00A02592"/>
    <w:p w:rsidR="00F60B5F" w:rsidRDefault="00F60B5F" w:rsidP="00856AFF"/>
    <w:p w:rsidR="00F60B5F" w:rsidRDefault="00F60B5F" w:rsidP="00856AFF">
      <w:pPr>
        <w:sectPr w:rsidR="00F60B5F" w:rsidSect="006C00BC">
          <w:headerReference w:type="even" r:id="rId20"/>
          <w:headerReference w:type="default" r:id="rId21"/>
          <w:footerReference w:type="even" r:id="rId22"/>
          <w:footerReference w:type="default" r:id="rId23"/>
          <w:headerReference w:type="first" r:id="rId24"/>
          <w:footerReference w:type="first" r:id="rId25"/>
          <w:type w:val="oddPage"/>
          <w:pgSz w:w="9979" w:h="14181" w:code="138"/>
          <w:pgMar w:top="1138" w:right="1138" w:bottom="1138" w:left="1138" w:header="720" w:footer="720" w:gutter="0"/>
          <w:cols w:space="708"/>
          <w:docGrid w:linePitch="360"/>
        </w:sectPr>
      </w:pPr>
    </w:p>
    <w:p w:rsidR="00F60B5F" w:rsidRPr="00DF427C" w:rsidRDefault="00F60B5F" w:rsidP="000532ED">
      <w:pPr>
        <w:pStyle w:val="Heading1"/>
      </w:pPr>
      <w:bookmarkStart w:id="16" w:name="_Toc311570378"/>
      <w:bookmarkStart w:id="17" w:name="_Toc311570015"/>
      <w:bookmarkStart w:id="18" w:name="_Toc311548764"/>
      <w:bookmarkStart w:id="19" w:name="_Toc374373951"/>
      <w:r w:rsidRPr="00DF427C">
        <w:t>Non</w:t>
      </w:r>
      <w:r>
        <w:noBreakHyphen/>
      </w:r>
      <w:r w:rsidRPr="00DF427C">
        <w:t>financial public sector</w:t>
      </w:r>
      <w:bookmarkEnd w:id="16"/>
      <w:bookmarkEnd w:id="17"/>
      <w:bookmarkEnd w:id="18"/>
      <w:bookmarkEnd w:id="19"/>
    </w:p>
    <w:p w:rsidR="00F60B5F" w:rsidRPr="00DF427C" w:rsidRDefault="00F60B5F" w:rsidP="00B01E68">
      <w:pPr>
        <w:spacing w:after="100"/>
      </w:pPr>
      <w:r w:rsidRPr="00DF427C">
        <w:t>This section overview</w:t>
      </w:r>
      <w:r>
        <w:t>s</w:t>
      </w:r>
      <w:r w:rsidRPr="00DF427C">
        <w:t xml:space="preserve"> the activities of the </w:t>
      </w:r>
      <w:r>
        <w:t>non</w:t>
      </w:r>
      <w:r>
        <w:noBreakHyphen/>
        <w:t>financial public sector (</w:t>
      </w:r>
      <w:r w:rsidRPr="00DF427C">
        <w:t>NFP</w:t>
      </w:r>
      <w:r>
        <w:t>),</w:t>
      </w:r>
      <w:r w:rsidRPr="00DF427C">
        <w:t xml:space="preserve"> which consolidat</w:t>
      </w:r>
      <w:r>
        <w:t>es</w:t>
      </w:r>
      <w:r w:rsidRPr="00DF427C">
        <w:t xml:space="preserve"> the PNFC and general government sectors. The PNFC </w:t>
      </w:r>
      <w:r>
        <w:t>sector has</w:t>
      </w:r>
      <w:r w:rsidRPr="00DF427C">
        <w:t xml:space="preserve"> a wide range of entities that provide services </w:t>
      </w:r>
      <w:r>
        <w:t>primarily funded</w:t>
      </w:r>
      <w:r w:rsidRPr="00DF427C">
        <w:t xml:space="preserve"> </w:t>
      </w:r>
      <w:r>
        <w:t>from</w:t>
      </w:r>
      <w:r w:rsidRPr="00DF427C">
        <w:t xml:space="preserve"> user charges and fees. The largest Victorian PNFCs provide water, housing, transport and port services. An important measure of financial sustainability of the Victorian Government </w:t>
      </w:r>
      <w:r>
        <w:t>is the level of debt in the NFP sector</w:t>
      </w:r>
      <w:r w:rsidRPr="00DF427C">
        <w:t xml:space="preserve"> which is a key variable supporting the State’s triple</w:t>
      </w:r>
      <w:r>
        <w:noBreakHyphen/>
      </w:r>
      <w:r w:rsidRPr="00DF427C">
        <w:t>A credit rating</w:t>
      </w:r>
      <w:r>
        <w:t xml:space="preserve">. </w:t>
      </w:r>
    </w:p>
    <w:p w:rsidR="00F60B5F" w:rsidRDefault="00F60B5F" w:rsidP="00C116CA">
      <w:pPr>
        <w:pStyle w:val="Heading2"/>
      </w:pPr>
      <w:r>
        <w:t>Summary operating statement</w:t>
      </w:r>
    </w:p>
    <w:p w:rsidR="00F60B5F" w:rsidRDefault="00F60B5F" w:rsidP="00C116CA">
      <w:pPr>
        <w:pStyle w:val="Tableheading"/>
      </w:pPr>
      <w:r>
        <w:t>Table 3.6:</w:t>
      </w:r>
      <w:r>
        <w:tab/>
        <w:t>Summary operating statement for the non</w:t>
      </w:r>
      <w:r>
        <w:noBreakHyphen/>
        <w:t>financial public sector</w:t>
      </w:r>
      <w:r w:rsidRPr="0061342B">
        <w:rPr>
          <w:vertAlign w:val="superscript"/>
        </w:rPr>
        <w:t>(a)</w:t>
      </w:r>
      <w:r>
        <w:rPr>
          <w:vertAlign w:val="superscript"/>
        </w:rPr>
        <w:t>(b)</w:t>
      </w:r>
    </w:p>
    <w:p w:rsidR="00F60B5F" w:rsidRPr="00FF3858" w:rsidRDefault="00F60B5F" w:rsidP="00FF3858">
      <w:pPr>
        <w:pStyle w:val="million"/>
      </w:pPr>
      <w:r w:rsidRPr="007A35C9">
        <w:t>($</w:t>
      </w:r>
      <w:r>
        <w:t> million</w:t>
      </w:r>
      <w:r w:rsidRPr="007A35C9">
        <w:t>)</w:t>
      </w:r>
    </w:p>
    <w:tbl>
      <w:tblPr>
        <w:tblW w:w="7760" w:type="dxa"/>
        <w:tblInd w:w="28" w:type="dxa"/>
        <w:tblLayout w:type="fixed"/>
        <w:tblCellMar>
          <w:left w:w="43" w:type="dxa"/>
          <w:right w:w="43" w:type="dxa"/>
        </w:tblCellMar>
        <w:tblLook w:val="0000" w:firstRow="0" w:lastRow="0" w:firstColumn="0" w:lastColumn="0" w:noHBand="0" w:noVBand="0"/>
      </w:tblPr>
      <w:tblGrid>
        <w:gridCol w:w="2790"/>
        <w:gridCol w:w="994"/>
        <w:gridCol w:w="994"/>
        <w:gridCol w:w="994"/>
        <w:gridCol w:w="994"/>
        <w:gridCol w:w="994"/>
      </w:tblGrid>
      <w:tr w:rsidR="00F60B5F" w:rsidRPr="00EB331D" w:rsidTr="00EB331D">
        <w:trPr>
          <w:cantSplit/>
          <w:tblHeader/>
        </w:trPr>
        <w:tc>
          <w:tcPr>
            <w:tcW w:w="2790" w:type="dxa"/>
            <w:tcBorders>
              <w:top w:val="single" w:sz="6" w:space="0" w:color="000000"/>
              <w:left w:val="single" w:sz="6" w:space="0" w:color="000000"/>
              <w:bottom w:val="nil"/>
              <w:right w:val="nil"/>
            </w:tcBorders>
            <w:shd w:val="clear" w:color="auto" w:fill="000000"/>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   </w:t>
            </w:r>
          </w:p>
        </w:tc>
        <w:tc>
          <w:tcPr>
            <w:tcW w:w="994" w:type="dxa"/>
            <w:tcBorders>
              <w:top w:val="single" w:sz="6" w:space="0" w:color="000000"/>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2012</w:t>
            </w:r>
            <w:r>
              <w:rPr>
                <w:rFonts w:eastAsiaTheme="minorEastAsia"/>
                <w:color w:val="FFFFFF"/>
                <w:lang w:eastAsia="en-AU"/>
              </w:rPr>
              <w:noBreakHyphen/>
            </w:r>
            <w:r w:rsidRPr="00EB331D">
              <w:rPr>
                <w:rFonts w:eastAsiaTheme="minorEastAsia"/>
                <w:color w:val="FFFFFF"/>
                <w:lang w:eastAsia="en-AU"/>
              </w:rPr>
              <w:t>13</w:t>
            </w:r>
          </w:p>
        </w:tc>
        <w:tc>
          <w:tcPr>
            <w:tcW w:w="994" w:type="dxa"/>
            <w:tcBorders>
              <w:top w:val="single" w:sz="6" w:space="0" w:color="000000"/>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2013</w:t>
            </w:r>
            <w:r>
              <w:rPr>
                <w:rFonts w:eastAsiaTheme="minorEastAsia"/>
                <w:color w:val="FFFFFF"/>
                <w:lang w:eastAsia="en-AU"/>
              </w:rPr>
              <w:noBreakHyphen/>
            </w:r>
            <w:r w:rsidRPr="00EB331D">
              <w:rPr>
                <w:rFonts w:eastAsiaTheme="minorEastAsia"/>
                <w:color w:val="FFFFFF"/>
                <w:lang w:eastAsia="en-AU"/>
              </w:rPr>
              <w:t>14</w:t>
            </w:r>
          </w:p>
        </w:tc>
        <w:tc>
          <w:tcPr>
            <w:tcW w:w="994" w:type="dxa"/>
            <w:tcBorders>
              <w:top w:val="single" w:sz="6" w:space="0" w:color="000000"/>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2014</w:t>
            </w:r>
            <w:r>
              <w:rPr>
                <w:rFonts w:eastAsiaTheme="minorEastAsia"/>
                <w:color w:val="FFFFFF"/>
                <w:lang w:eastAsia="en-AU"/>
              </w:rPr>
              <w:noBreakHyphen/>
            </w:r>
            <w:r w:rsidRPr="00EB331D">
              <w:rPr>
                <w:rFonts w:eastAsiaTheme="minorEastAsia"/>
                <w:color w:val="FFFFFF"/>
                <w:lang w:eastAsia="en-AU"/>
              </w:rPr>
              <w:t>15</w:t>
            </w:r>
          </w:p>
        </w:tc>
        <w:tc>
          <w:tcPr>
            <w:tcW w:w="994" w:type="dxa"/>
            <w:tcBorders>
              <w:top w:val="single" w:sz="6" w:space="0" w:color="000000"/>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2015</w:t>
            </w:r>
            <w:r>
              <w:rPr>
                <w:rFonts w:eastAsiaTheme="minorEastAsia"/>
                <w:color w:val="FFFFFF"/>
                <w:lang w:eastAsia="en-AU"/>
              </w:rPr>
              <w:noBreakHyphen/>
            </w:r>
            <w:r w:rsidRPr="00EB331D">
              <w:rPr>
                <w:rFonts w:eastAsiaTheme="minorEastAsia"/>
                <w:color w:val="FFFFFF"/>
                <w:lang w:eastAsia="en-AU"/>
              </w:rPr>
              <w:t>16</w:t>
            </w:r>
          </w:p>
        </w:tc>
        <w:tc>
          <w:tcPr>
            <w:tcW w:w="994" w:type="dxa"/>
            <w:tcBorders>
              <w:top w:val="single" w:sz="6" w:space="0" w:color="000000"/>
              <w:left w:val="nil"/>
              <w:bottom w:val="nil"/>
              <w:right w:val="single" w:sz="6" w:space="0" w:color="000000"/>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2016</w:t>
            </w:r>
            <w:r>
              <w:rPr>
                <w:rFonts w:eastAsiaTheme="minorEastAsia"/>
                <w:color w:val="FFFFFF"/>
                <w:lang w:eastAsia="en-AU"/>
              </w:rPr>
              <w:noBreakHyphen/>
            </w:r>
            <w:r w:rsidRPr="00EB331D">
              <w:rPr>
                <w:rFonts w:eastAsiaTheme="minorEastAsia"/>
                <w:color w:val="FFFFFF"/>
                <w:lang w:eastAsia="en-AU"/>
              </w:rPr>
              <w:t>17</w:t>
            </w:r>
          </w:p>
        </w:tc>
      </w:tr>
      <w:tr w:rsidR="00F60B5F" w:rsidRPr="00EB331D" w:rsidTr="00EB331D">
        <w:trPr>
          <w:cantSplit/>
          <w:tblHeader/>
        </w:trPr>
        <w:tc>
          <w:tcPr>
            <w:tcW w:w="2790" w:type="dxa"/>
            <w:tcBorders>
              <w:top w:val="nil"/>
              <w:left w:val="single" w:sz="6" w:space="0" w:color="000000"/>
              <w:bottom w:val="single" w:sz="6" w:space="0" w:color="000000"/>
              <w:right w:val="nil"/>
            </w:tcBorders>
            <w:shd w:val="clear" w:color="auto" w:fill="000000"/>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   </w:t>
            </w:r>
          </w:p>
        </w:tc>
        <w:tc>
          <w:tcPr>
            <w:tcW w:w="994" w:type="dxa"/>
            <w:tcBorders>
              <w:top w:val="nil"/>
              <w:left w:val="nil"/>
              <w:bottom w:val="single" w:sz="6" w:space="0" w:color="000000"/>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Actual</w:t>
            </w:r>
          </w:p>
        </w:tc>
        <w:tc>
          <w:tcPr>
            <w:tcW w:w="994" w:type="dxa"/>
            <w:tcBorders>
              <w:top w:val="nil"/>
              <w:left w:val="nil"/>
              <w:bottom w:val="single" w:sz="6" w:space="0" w:color="000000"/>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Revised</w:t>
            </w:r>
          </w:p>
        </w:tc>
        <w:tc>
          <w:tcPr>
            <w:tcW w:w="994" w:type="dxa"/>
            <w:tcBorders>
              <w:top w:val="nil"/>
              <w:left w:val="nil"/>
              <w:bottom w:val="single" w:sz="6" w:space="0" w:color="000000"/>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c>
          <w:tcPr>
            <w:tcW w:w="994" w:type="dxa"/>
            <w:tcBorders>
              <w:top w:val="nil"/>
              <w:left w:val="nil"/>
              <w:bottom w:val="single" w:sz="6" w:space="0" w:color="000000"/>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c>
          <w:tcPr>
            <w:tcW w:w="994" w:type="dxa"/>
            <w:tcBorders>
              <w:top w:val="nil"/>
              <w:left w:val="nil"/>
              <w:bottom w:val="single" w:sz="6" w:space="0" w:color="000000"/>
              <w:right w:val="single" w:sz="6" w:space="0" w:color="000000"/>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r>
      <w:tr w:rsidR="00F60B5F" w:rsidRPr="00EB331D" w:rsidTr="00EB331D">
        <w:trPr>
          <w:cantSplit/>
        </w:trPr>
        <w:tc>
          <w:tcPr>
            <w:tcW w:w="2790" w:type="dxa"/>
            <w:tcBorders>
              <w:top w:val="single" w:sz="6" w:space="0" w:color="000000"/>
              <w:left w:val="nil"/>
              <w:bottom w:val="nil"/>
              <w:right w:val="nil"/>
            </w:tcBorders>
          </w:tcPr>
          <w:p w:rsidR="00F60B5F" w:rsidRPr="00EB331D" w:rsidRDefault="00F60B5F" w:rsidP="00EB331D">
            <w:pPr>
              <w:pStyle w:val="Tabletext"/>
              <w:rPr>
                <w:rFonts w:eastAsiaTheme="minorEastAsia"/>
                <w:b/>
                <w:bCs/>
                <w:lang w:eastAsia="en-AU"/>
              </w:rPr>
            </w:pPr>
            <w:r w:rsidRPr="00EB331D">
              <w:rPr>
                <w:rFonts w:eastAsiaTheme="minorEastAsia"/>
                <w:b/>
                <w:bCs/>
                <w:lang w:eastAsia="en-AU"/>
              </w:rPr>
              <w:t>Revenue</w:t>
            </w:r>
          </w:p>
        </w:tc>
        <w:tc>
          <w:tcPr>
            <w:tcW w:w="994"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c>
          <w:tcPr>
            <w:tcW w:w="994"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c>
          <w:tcPr>
            <w:tcW w:w="994"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c>
          <w:tcPr>
            <w:tcW w:w="994"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c>
          <w:tcPr>
            <w:tcW w:w="994"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Taxation</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15 198.9</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16 086.6</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17 187.6</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17 901.3</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18 907.1</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Interest  </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435.0</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360.6</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363.5</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388.3</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403.9</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Dividends, TER and interest </w:t>
            </w:r>
            <w:r w:rsidRPr="00EB331D">
              <w:rPr>
                <w:rFonts w:eastAsiaTheme="minorEastAsia"/>
                <w:vertAlign w:val="superscript"/>
                <w:lang w:eastAsia="en-AU"/>
              </w:rPr>
              <w:t>(c)</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609.4</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419.1</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425.8</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499.4</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503.4</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Sales of goods and services</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9 826.4</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10 770.0</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10 853.0</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11 168.3</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11 260.1</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Grants</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21 879.2</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23 246.6</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24 265.1</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24 816.7</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26 167.1</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Other current revenue</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2 728.9</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2 526.0</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2 416.9</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2 495.3</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2 539.8</w:t>
            </w:r>
          </w:p>
        </w:tc>
      </w:tr>
      <w:tr w:rsidR="00F60B5F" w:rsidRPr="00EB331D" w:rsidTr="00EB331D">
        <w:trPr>
          <w:cantSplit/>
        </w:trPr>
        <w:tc>
          <w:tcPr>
            <w:tcW w:w="2790" w:type="dxa"/>
            <w:tcBorders>
              <w:top w:val="single" w:sz="6" w:space="0" w:color="auto"/>
              <w:left w:val="nil"/>
              <w:bottom w:val="nil"/>
              <w:right w:val="nil"/>
            </w:tcBorders>
          </w:tcPr>
          <w:p w:rsidR="00F60B5F" w:rsidRPr="00EB331D" w:rsidRDefault="00F60B5F" w:rsidP="00EB331D">
            <w:pPr>
              <w:pStyle w:val="Tabletext"/>
              <w:rPr>
                <w:rFonts w:eastAsiaTheme="minorEastAsia"/>
                <w:b/>
                <w:bCs/>
                <w:lang w:eastAsia="en-AU"/>
              </w:rPr>
            </w:pPr>
            <w:r w:rsidRPr="00EB331D">
              <w:rPr>
                <w:rFonts w:eastAsiaTheme="minorEastAsia"/>
                <w:b/>
                <w:bCs/>
                <w:lang w:eastAsia="en-AU"/>
              </w:rPr>
              <w:t>Total revenue</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50 677.8</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53 408.9</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55 512.1</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57 269.3</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59 781.3</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i/>
                <w:iCs/>
                <w:lang w:eastAsia="en-AU"/>
              </w:rPr>
            </w:pPr>
            <w:r w:rsidRPr="00EB331D">
              <w:rPr>
                <w:rFonts w:eastAsiaTheme="minorEastAsia"/>
                <w:i/>
                <w:iCs/>
                <w:lang w:eastAsia="en-AU"/>
              </w:rPr>
              <w:t>% change</w:t>
            </w:r>
          </w:p>
        </w:tc>
        <w:tc>
          <w:tcPr>
            <w:tcW w:w="994" w:type="dxa"/>
            <w:tcBorders>
              <w:top w:val="nil"/>
              <w:left w:val="nil"/>
              <w:bottom w:val="nil"/>
              <w:right w:val="nil"/>
            </w:tcBorders>
          </w:tcPr>
          <w:p w:rsidR="00F60B5F" w:rsidRPr="00EB331D" w:rsidRDefault="00F60B5F" w:rsidP="00EB331D">
            <w:pPr>
              <w:pStyle w:val="TableofFigures"/>
              <w:rPr>
                <w:rFonts w:eastAsiaTheme="minorEastAsia" w:cs="Calibri"/>
                <w:lang w:eastAsia="en-AU"/>
              </w:rPr>
            </w:pPr>
            <w:r w:rsidRPr="00EB331D">
              <w:rPr>
                <w:rFonts w:eastAsiaTheme="minorEastAsia"/>
                <w:lang w:eastAsia="en-AU"/>
              </w:rPr>
              <w:t xml:space="preserve">( </w:t>
            </w:r>
            <w:r w:rsidRPr="00EB331D">
              <w:rPr>
                <w:rFonts w:eastAsiaTheme="minorEastAsia" w:cs="Calibri"/>
                <w:lang w:eastAsia="en-AU"/>
              </w:rPr>
              <w:t>0.1)</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5.4</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3.9</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3.2</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4.4</w:t>
            </w:r>
          </w:p>
        </w:tc>
      </w:tr>
      <w:tr w:rsidR="00F60B5F" w:rsidRPr="00EB331D" w:rsidTr="00EB331D">
        <w:trPr>
          <w:cantSplit/>
          <w:trHeight w:hRule="exact" w:val="120"/>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   </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b/>
                <w:bCs/>
                <w:lang w:eastAsia="en-AU"/>
              </w:rPr>
            </w:pPr>
            <w:r w:rsidRPr="00EB331D">
              <w:rPr>
                <w:rFonts w:eastAsiaTheme="minorEastAsia"/>
                <w:b/>
                <w:bCs/>
                <w:lang w:eastAsia="en-AU"/>
              </w:rPr>
              <w:t>Expenses</w:t>
            </w:r>
          </w:p>
        </w:tc>
        <w:tc>
          <w:tcPr>
            <w:tcW w:w="994"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94"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94"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94"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94"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Employee expenses</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18 778.0</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18 814.5</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19 500.8</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20 247.1</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20 893.0</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vertAlign w:val="superscript"/>
                <w:lang w:eastAsia="en-AU"/>
              </w:rPr>
            </w:pPr>
            <w:r w:rsidRPr="00EB331D">
              <w:rPr>
                <w:rFonts w:eastAsiaTheme="minorEastAsia"/>
                <w:lang w:eastAsia="en-AU"/>
              </w:rPr>
              <w:t>Superannuation</w:t>
            </w:r>
            <w:r>
              <w:rPr>
                <w:rFonts w:eastAsiaTheme="minorEastAsia"/>
                <w:lang w:eastAsia="en-AU"/>
              </w:rPr>
              <w:t xml:space="preserve"> </w:t>
            </w:r>
            <w:r w:rsidRPr="00EB331D">
              <w:rPr>
                <w:rFonts w:eastAsiaTheme="minorEastAsia"/>
                <w:vertAlign w:val="superscript"/>
                <w:lang w:eastAsia="en-AU"/>
              </w:rPr>
              <w:t>(d)</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3 093.6</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2 985.2</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2 958.9</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2 980.5</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2 985.2</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Depreciation</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4 092.4</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4 319.5</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4 489.2</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4 759.5</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5 108.6</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Interest expense</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2 433.8</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2 870.5</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3 017.7</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3 056.7</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3 102.7</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Other operating expenses</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18 580.9</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19 733.0</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19 727.8</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19 229.5</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19 742.4</w:t>
            </w:r>
          </w:p>
        </w:tc>
      </w:tr>
      <w:tr w:rsidR="00F60B5F" w:rsidRPr="00EB331D" w:rsidTr="00EB331D">
        <w:trPr>
          <w:cantSplit/>
        </w:trPr>
        <w:tc>
          <w:tcPr>
            <w:tcW w:w="2790" w:type="dxa"/>
            <w:tcBorders>
              <w:top w:val="nil"/>
              <w:left w:val="nil"/>
              <w:bottom w:val="single" w:sz="6" w:space="0" w:color="auto"/>
              <w:right w:val="nil"/>
            </w:tcBorders>
          </w:tcPr>
          <w:p w:rsidR="00F60B5F" w:rsidRPr="00EB331D" w:rsidRDefault="00F60B5F" w:rsidP="00EB331D">
            <w:pPr>
              <w:pStyle w:val="Tabletext"/>
              <w:rPr>
                <w:rFonts w:eastAsiaTheme="minorEastAsia"/>
                <w:lang w:eastAsia="en-AU"/>
              </w:rPr>
            </w:pPr>
            <w:r w:rsidRPr="00EB331D">
              <w:rPr>
                <w:rFonts w:eastAsiaTheme="minorEastAsia"/>
                <w:lang w:eastAsia="en-AU"/>
              </w:rPr>
              <w:t>Grants and other transfers</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5 399.1</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4 999.2</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5 366.9</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5 545.4</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5 885.5</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b/>
                <w:bCs/>
                <w:lang w:eastAsia="en-AU"/>
              </w:rPr>
            </w:pPr>
            <w:r w:rsidRPr="00EB331D">
              <w:rPr>
                <w:rFonts w:eastAsiaTheme="minorEastAsia"/>
                <w:b/>
                <w:bCs/>
                <w:lang w:eastAsia="en-AU"/>
              </w:rPr>
              <w:t>Total expenses</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52 377.7</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53 721.9</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55 061.3</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55 818.7</w:t>
            </w:r>
          </w:p>
        </w:tc>
        <w:tc>
          <w:tcPr>
            <w:tcW w:w="994"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57 717.4</w:t>
            </w:r>
          </w:p>
        </w:tc>
      </w:tr>
      <w:tr w:rsidR="00F60B5F" w:rsidRPr="00EB331D" w:rsidTr="00EB331D">
        <w:trPr>
          <w:cantSplit/>
        </w:trPr>
        <w:tc>
          <w:tcPr>
            <w:tcW w:w="2790" w:type="dxa"/>
            <w:tcBorders>
              <w:top w:val="nil"/>
              <w:left w:val="nil"/>
              <w:bottom w:val="nil"/>
              <w:right w:val="nil"/>
            </w:tcBorders>
          </w:tcPr>
          <w:p w:rsidR="00F60B5F" w:rsidRPr="00EB331D" w:rsidRDefault="00F60B5F" w:rsidP="00EB331D">
            <w:pPr>
              <w:pStyle w:val="Tabletext"/>
              <w:rPr>
                <w:rFonts w:eastAsiaTheme="minorEastAsia" w:cs="Calibri"/>
                <w:i/>
                <w:iCs/>
                <w:vertAlign w:val="superscript"/>
                <w:lang w:eastAsia="en-AU"/>
              </w:rPr>
            </w:pPr>
            <w:r w:rsidRPr="00EB331D">
              <w:rPr>
                <w:rFonts w:eastAsiaTheme="minorEastAsia"/>
                <w:i/>
                <w:iCs/>
                <w:lang w:eastAsia="en-AU"/>
              </w:rPr>
              <w:t>% change</w:t>
            </w:r>
            <w:r>
              <w:rPr>
                <w:rFonts w:eastAsiaTheme="minorEastAsia"/>
                <w:i/>
                <w:iCs/>
                <w:lang w:eastAsia="en-AU"/>
              </w:rPr>
              <w:t xml:space="preserve"> </w:t>
            </w:r>
            <w:r w:rsidRPr="00EB331D">
              <w:rPr>
                <w:rFonts w:eastAsiaTheme="minorEastAsia"/>
                <w:i/>
                <w:iCs/>
                <w:vertAlign w:val="superscript"/>
                <w:lang w:eastAsia="en-AU"/>
              </w:rPr>
              <w:t>(</w:t>
            </w:r>
            <w:r w:rsidRPr="00EB331D">
              <w:rPr>
                <w:rFonts w:eastAsiaTheme="minorEastAsia" w:cs="Calibri"/>
                <w:i/>
                <w:iCs/>
                <w:vertAlign w:val="superscript"/>
                <w:lang w:eastAsia="en-AU"/>
              </w:rPr>
              <w:t>e)</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2.1</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2.6</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2.5</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1.4</w:t>
            </w:r>
          </w:p>
        </w:tc>
        <w:tc>
          <w:tcPr>
            <w:tcW w:w="994"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3.4</w:t>
            </w:r>
          </w:p>
        </w:tc>
      </w:tr>
      <w:tr w:rsidR="00F60B5F" w:rsidRPr="00EB331D" w:rsidTr="00EB331D">
        <w:trPr>
          <w:cantSplit/>
        </w:trPr>
        <w:tc>
          <w:tcPr>
            <w:tcW w:w="2790" w:type="dxa"/>
            <w:tcBorders>
              <w:top w:val="single" w:sz="6" w:space="0" w:color="auto"/>
              <w:left w:val="nil"/>
              <w:bottom w:val="single" w:sz="6" w:space="0" w:color="auto"/>
              <w:right w:val="nil"/>
            </w:tcBorders>
          </w:tcPr>
          <w:p w:rsidR="00F60B5F" w:rsidRPr="00EB331D" w:rsidRDefault="00F60B5F" w:rsidP="00EB331D">
            <w:pPr>
              <w:pStyle w:val="Tabletext"/>
              <w:rPr>
                <w:rFonts w:eastAsiaTheme="minorEastAsia"/>
                <w:b/>
                <w:bCs/>
                <w:lang w:eastAsia="en-AU"/>
              </w:rPr>
            </w:pPr>
            <w:r w:rsidRPr="00EB331D">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cs="Calibri"/>
                <w:b/>
                <w:lang w:eastAsia="en-AU"/>
              </w:rPr>
            </w:pPr>
            <w:r w:rsidRPr="00EB331D">
              <w:rPr>
                <w:rFonts w:eastAsiaTheme="minorEastAsia"/>
                <w:b/>
                <w:bCs/>
                <w:lang w:eastAsia="en-AU"/>
              </w:rPr>
              <w:t xml:space="preserve">(1 </w:t>
            </w:r>
            <w:r w:rsidRPr="00EB331D">
              <w:rPr>
                <w:rFonts w:eastAsiaTheme="minorEastAsia" w:cs="Calibri"/>
                <w:b/>
                <w:lang w:eastAsia="en-AU"/>
              </w:rPr>
              <w:t>699.9)</w:t>
            </w:r>
          </w:p>
        </w:tc>
        <w:tc>
          <w:tcPr>
            <w:tcW w:w="994"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( 312.9)</w:t>
            </w:r>
          </w:p>
        </w:tc>
        <w:tc>
          <w:tcPr>
            <w:tcW w:w="994"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450.7</w:t>
            </w:r>
          </w:p>
        </w:tc>
        <w:tc>
          <w:tcPr>
            <w:tcW w:w="994"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cs="Calibri"/>
                <w:b/>
                <w:lang w:eastAsia="en-AU"/>
              </w:rPr>
            </w:pPr>
            <w:r w:rsidRPr="00EB331D">
              <w:rPr>
                <w:rFonts w:eastAsiaTheme="minorEastAsia"/>
                <w:b/>
                <w:bCs/>
                <w:lang w:eastAsia="en-AU"/>
              </w:rPr>
              <w:t>1 450.6</w:t>
            </w:r>
          </w:p>
        </w:tc>
        <w:tc>
          <w:tcPr>
            <w:tcW w:w="994"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cs="Calibri"/>
                <w:b/>
                <w:lang w:eastAsia="en-AU"/>
              </w:rPr>
            </w:pPr>
            <w:r w:rsidRPr="00EB331D">
              <w:rPr>
                <w:rFonts w:eastAsiaTheme="minorEastAsia"/>
                <w:b/>
                <w:bCs/>
                <w:lang w:eastAsia="en-AU"/>
              </w:rPr>
              <w:t>2 063.9</w:t>
            </w:r>
          </w:p>
        </w:tc>
      </w:tr>
      <w:tr w:rsidR="00F60B5F" w:rsidRPr="00EB331D" w:rsidTr="00EB331D">
        <w:trPr>
          <w:cantSplit/>
        </w:trPr>
        <w:tc>
          <w:tcPr>
            <w:tcW w:w="2790" w:type="dxa"/>
            <w:tcBorders>
              <w:top w:val="single" w:sz="6" w:space="0" w:color="auto"/>
              <w:left w:val="nil"/>
              <w:bottom w:val="single" w:sz="6" w:space="0" w:color="auto"/>
              <w:right w:val="nil"/>
            </w:tcBorders>
          </w:tcPr>
          <w:p w:rsidR="00F60B5F" w:rsidRPr="00EB331D" w:rsidRDefault="00F60B5F" w:rsidP="00EB331D">
            <w:pPr>
              <w:pStyle w:val="Tabletext"/>
              <w:rPr>
                <w:rFonts w:eastAsiaTheme="minorEastAsia"/>
                <w:b/>
                <w:bCs/>
                <w:lang w:eastAsia="en-AU"/>
              </w:rPr>
            </w:pPr>
            <w:r w:rsidRPr="00EB331D">
              <w:rPr>
                <w:rFonts w:eastAsiaTheme="minorEastAsia"/>
                <w:b/>
                <w:bCs/>
                <w:lang w:eastAsia="en-AU"/>
              </w:rPr>
              <w:t>Total other economic flows included in net result</w:t>
            </w:r>
          </w:p>
        </w:tc>
        <w:tc>
          <w:tcPr>
            <w:tcW w:w="994" w:type="dxa"/>
            <w:tcBorders>
              <w:top w:val="nil"/>
              <w:left w:val="nil"/>
              <w:bottom w:val="single" w:sz="6" w:space="0" w:color="auto"/>
              <w:right w:val="nil"/>
            </w:tcBorders>
          </w:tcPr>
          <w:p w:rsidR="00F60B5F" w:rsidRPr="00EB331D" w:rsidRDefault="00F60B5F" w:rsidP="00EB331D">
            <w:pPr>
              <w:pStyle w:val="TableofFigures"/>
              <w:rPr>
                <w:rFonts w:eastAsiaTheme="minorEastAsia"/>
                <w:b/>
                <w:lang w:eastAsia="en-AU"/>
              </w:rPr>
            </w:pPr>
            <w:r w:rsidRPr="00EB331D">
              <w:rPr>
                <w:rFonts w:eastAsiaTheme="minorEastAsia"/>
                <w:b/>
                <w:lang w:eastAsia="en-AU"/>
              </w:rPr>
              <w:t>( 473.4)</w:t>
            </w:r>
          </w:p>
        </w:tc>
        <w:tc>
          <w:tcPr>
            <w:tcW w:w="994" w:type="dxa"/>
            <w:tcBorders>
              <w:top w:val="nil"/>
              <w:left w:val="nil"/>
              <w:bottom w:val="single" w:sz="6" w:space="0" w:color="auto"/>
              <w:right w:val="nil"/>
            </w:tcBorders>
          </w:tcPr>
          <w:p w:rsidR="00F60B5F" w:rsidRPr="00EB331D" w:rsidRDefault="00F60B5F" w:rsidP="00EB331D">
            <w:pPr>
              <w:pStyle w:val="TableofFigures"/>
              <w:rPr>
                <w:rFonts w:eastAsiaTheme="minorEastAsia"/>
                <w:b/>
                <w:lang w:eastAsia="en-AU"/>
              </w:rPr>
            </w:pPr>
            <w:r w:rsidRPr="00EB331D">
              <w:rPr>
                <w:rFonts w:eastAsiaTheme="minorEastAsia"/>
                <w:b/>
                <w:lang w:eastAsia="en-AU"/>
              </w:rPr>
              <w:t>( 199.9)</w:t>
            </w:r>
          </w:p>
        </w:tc>
        <w:tc>
          <w:tcPr>
            <w:tcW w:w="994" w:type="dxa"/>
            <w:tcBorders>
              <w:top w:val="nil"/>
              <w:left w:val="nil"/>
              <w:bottom w:val="single" w:sz="6" w:space="0" w:color="auto"/>
              <w:right w:val="nil"/>
            </w:tcBorders>
          </w:tcPr>
          <w:p w:rsidR="00F60B5F" w:rsidRPr="00EB331D" w:rsidRDefault="00F60B5F" w:rsidP="00EB331D">
            <w:pPr>
              <w:pStyle w:val="TableofFigures"/>
              <w:rPr>
                <w:rFonts w:eastAsiaTheme="minorEastAsia"/>
                <w:b/>
                <w:lang w:eastAsia="en-AU"/>
              </w:rPr>
            </w:pPr>
            <w:r w:rsidRPr="00EB331D">
              <w:rPr>
                <w:rFonts w:eastAsiaTheme="minorEastAsia"/>
                <w:b/>
                <w:lang w:eastAsia="en-AU"/>
              </w:rPr>
              <w:t>( 209.3)</w:t>
            </w:r>
          </w:p>
        </w:tc>
        <w:tc>
          <w:tcPr>
            <w:tcW w:w="994" w:type="dxa"/>
            <w:tcBorders>
              <w:top w:val="nil"/>
              <w:left w:val="nil"/>
              <w:bottom w:val="single" w:sz="6" w:space="0" w:color="auto"/>
              <w:right w:val="nil"/>
            </w:tcBorders>
          </w:tcPr>
          <w:p w:rsidR="00F60B5F" w:rsidRPr="00EB331D" w:rsidRDefault="00F60B5F" w:rsidP="00EB331D">
            <w:pPr>
              <w:pStyle w:val="TableofFigures"/>
              <w:rPr>
                <w:rFonts w:eastAsiaTheme="minorEastAsia"/>
                <w:b/>
                <w:lang w:eastAsia="en-AU"/>
              </w:rPr>
            </w:pPr>
            <w:r w:rsidRPr="00EB331D">
              <w:rPr>
                <w:rFonts w:eastAsiaTheme="minorEastAsia"/>
                <w:b/>
                <w:lang w:eastAsia="en-AU"/>
              </w:rPr>
              <w:t>( 255.8)</w:t>
            </w:r>
          </w:p>
        </w:tc>
        <w:tc>
          <w:tcPr>
            <w:tcW w:w="994" w:type="dxa"/>
            <w:tcBorders>
              <w:top w:val="nil"/>
              <w:left w:val="nil"/>
              <w:bottom w:val="single" w:sz="6" w:space="0" w:color="auto"/>
              <w:right w:val="nil"/>
            </w:tcBorders>
          </w:tcPr>
          <w:p w:rsidR="00F60B5F" w:rsidRPr="00EB331D" w:rsidRDefault="00F60B5F" w:rsidP="00EB331D">
            <w:pPr>
              <w:pStyle w:val="TableofFigures"/>
              <w:rPr>
                <w:rFonts w:eastAsiaTheme="minorEastAsia"/>
                <w:b/>
                <w:lang w:eastAsia="en-AU"/>
              </w:rPr>
            </w:pPr>
            <w:r w:rsidRPr="00EB331D">
              <w:rPr>
                <w:rFonts w:eastAsiaTheme="minorEastAsia"/>
                <w:b/>
                <w:lang w:eastAsia="en-AU"/>
              </w:rPr>
              <w:t>( 253.5)</w:t>
            </w:r>
          </w:p>
        </w:tc>
      </w:tr>
      <w:tr w:rsidR="00F60B5F" w:rsidRPr="00EB331D" w:rsidTr="00EB331D">
        <w:trPr>
          <w:cantSplit/>
        </w:trPr>
        <w:tc>
          <w:tcPr>
            <w:tcW w:w="2790"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text"/>
              <w:rPr>
                <w:rFonts w:eastAsiaTheme="minorEastAsia"/>
                <w:b/>
                <w:bCs/>
                <w:lang w:eastAsia="en-AU"/>
              </w:rPr>
            </w:pPr>
            <w:r w:rsidRPr="00EB331D">
              <w:rPr>
                <w:rFonts w:eastAsiaTheme="minorEastAsia"/>
                <w:b/>
                <w:bCs/>
                <w:lang w:eastAsia="en-AU"/>
              </w:rPr>
              <w:t>Net result</w:t>
            </w:r>
          </w:p>
        </w:tc>
        <w:tc>
          <w:tcPr>
            <w:tcW w:w="994"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(2 173.3)</w:t>
            </w:r>
          </w:p>
        </w:tc>
        <w:tc>
          <w:tcPr>
            <w:tcW w:w="994"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( 512.8)</w:t>
            </w:r>
          </w:p>
        </w:tc>
        <w:tc>
          <w:tcPr>
            <w:tcW w:w="994"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241.4</w:t>
            </w:r>
          </w:p>
        </w:tc>
        <w:tc>
          <w:tcPr>
            <w:tcW w:w="994"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cs="Calibri"/>
                <w:b/>
                <w:bCs/>
                <w:lang w:eastAsia="en-AU"/>
              </w:rPr>
            </w:pPr>
            <w:r w:rsidRPr="00EB331D">
              <w:rPr>
                <w:rFonts w:eastAsiaTheme="minorEastAsia"/>
                <w:b/>
                <w:bCs/>
                <w:lang w:eastAsia="en-AU"/>
              </w:rPr>
              <w:t>1 194.8</w:t>
            </w:r>
          </w:p>
        </w:tc>
        <w:tc>
          <w:tcPr>
            <w:tcW w:w="994"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cs="Calibri"/>
                <w:b/>
                <w:bCs/>
                <w:lang w:eastAsia="en-AU"/>
              </w:rPr>
            </w:pPr>
            <w:r w:rsidRPr="00EB331D">
              <w:rPr>
                <w:rFonts w:eastAsiaTheme="minorEastAsia"/>
                <w:b/>
                <w:bCs/>
                <w:lang w:eastAsia="en-AU"/>
              </w:rPr>
              <w:t>1 810.4</w:t>
            </w:r>
          </w:p>
        </w:tc>
      </w:tr>
    </w:tbl>
    <w:p w:rsidR="00F60B5F" w:rsidRPr="00FC2E66" w:rsidRDefault="00F60B5F" w:rsidP="00991B03">
      <w:pPr>
        <w:pStyle w:val="Source"/>
      </w:pPr>
      <w:r w:rsidRPr="00FC2E66">
        <w:t>Source: Department of Treasury and Finance</w:t>
      </w:r>
    </w:p>
    <w:p w:rsidR="00F60B5F" w:rsidRDefault="00F60B5F" w:rsidP="0061342B">
      <w:pPr>
        <w:pStyle w:val="Notes"/>
      </w:pPr>
      <w:r w:rsidRPr="00FC2E66">
        <w:t>Notes:</w:t>
      </w:r>
    </w:p>
    <w:p w:rsidR="00F60B5F" w:rsidRDefault="00F60B5F" w:rsidP="0061342B">
      <w:pPr>
        <w:pStyle w:val="Notes"/>
        <w:rPr>
          <w:i w:val="0"/>
        </w:rPr>
      </w:pPr>
      <w:r>
        <w:t xml:space="preserve">(a) </w:t>
      </w:r>
      <w:r>
        <w:tab/>
        <w:t xml:space="preserve">This is a summary operating statement. The comprehensive operating statement is presented in Chapter 6 </w:t>
      </w:r>
      <w:r w:rsidRPr="00D64263">
        <w:rPr>
          <w:i w:val="0"/>
        </w:rPr>
        <w:t>Supplementary uniform presentation framework tables</w:t>
      </w:r>
      <w:r>
        <w:t>.</w:t>
      </w:r>
    </w:p>
    <w:p w:rsidR="00F60B5F" w:rsidRDefault="00F60B5F" w:rsidP="0061342B">
      <w:pPr>
        <w:pStyle w:val="Notes"/>
      </w:pPr>
      <w:r>
        <w:t>(b)</w:t>
      </w:r>
      <w:r>
        <w:tab/>
      </w:r>
      <w:r w:rsidRPr="005A3F38">
        <w:t>The 2012</w:t>
      </w:r>
      <w:r>
        <w:noBreakHyphen/>
      </w:r>
      <w:r w:rsidRPr="005A3F38">
        <w:t xml:space="preserve">13 actual comparative figures have been restated to reflect a revised accounting standard, AASB 119 </w:t>
      </w:r>
      <w:r w:rsidRPr="00B81277">
        <w:rPr>
          <w:i w:val="0"/>
        </w:rPr>
        <w:t>Employee Benefits</w:t>
      </w:r>
      <w:r w:rsidRPr="005A3F38">
        <w:t>, which has been issued changing the way defined benefit superannuation expenses are calculated from 2013</w:t>
      </w:r>
      <w:r>
        <w:noBreakHyphen/>
      </w:r>
      <w:r w:rsidRPr="005A3F38">
        <w:t>14.</w:t>
      </w:r>
    </w:p>
    <w:p w:rsidR="00F60B5F" w:rsidRDefault="00F60B5F" w:rsidP="0061342B">
      <w:pPr>
        <w:pStyle w:val="Notes"/>
      </w:pPr>
      <w:r>
        <w:t xml:space="preserve">(c) </w:t>
      </w:r>
      <w:r>
        <w:tab/>
        <w:t>Comprises dividends, income tax and rate equivalent revenue and interest.</w:t>
      </w:r>
    </w:p>
    <w:p w:rsidR="00F60B5F" w:rsidRDefault="00F60B5F" w:rsidP="0061342B">
      <w:pPr>
        <w:pStyle w:val="Notes"/>
      </w:pPr>
      <w:r>
        <w:t xml:space="preserve">(d) </w:t>
      </w:r>
      <w:r>
        <w:tab/>
        <w:t>Comprises superannuation interest expense and other superannuation expenses.</w:t>
      </w:r>
    </w:p>
    <w:p w:rsidR="00F60B5F" w:rsidRDefault="00F60B5F" w:rsidP="0061342B">
      <w:pPr>
        <w:pStyle w:val="Notes"/>
      </w:pPr>
      <w:r>
        <w:t>(e)</w:t>
      </w:r>
      <w:r>
        <w:tab/>
        <w:t>The expense growth for 2012</w:t>
      </w:r>
      <w:r>
        <w:noBreakHyphen/>
        <w:t xml:space="preserve">13 is based on published numbers as per </w:t>
      </w:r>
      <w:r w:rsidRPr="00FF3858">
        <w:rPr>
          <w:i w:val="0"/>
        </w:rPr>
        <w:t>2012</w:t>
      </w:r>
      <w:r>
        <w:rPr>
          <w:i w:val="0"/>
        </w:rPr>
        <w:noBreakHyphen/>
      </w:r>
      <w:r w:rsidRPr="00FF3858">
        <w:rPr>
          <w:i w:val="0"/>
        </w:rPr>
        <w:t>13 Financial Report</w:t>
      </w:r>
      <w:r>
        <w:rPr>
          <w:i w:val="0"/>
        </w:rPr>
        <w:t>.</w:t>
      </w:r>
    </w:p>
    <w:p w:rsidR="00F60B5F" w:rsidRDefault="00F60B5F" w:rsidP="009266C7">
      <w:r w:rsidRPr="00DD0FD3">
        <w:t>The net result from transactions</w:t>
      </w:r>
      <w:r w:rsidRPr="003F0A3D">
        <w:t xml:space="preserve"> </w:t>
      </w:r>
      <w:r w:rsidRPr="00DD0FD3">
        <w:t>in 2013</w:t>
      </w:r>
      <w:r>
        <w:noBreakHyphen/>
        <w:t>14 for the NFP sector</w:t>
      </w:r>
      <w:r w:rsidRPr="00DD0FD3">
        <w:t xml:space="preserve"> is projected to be a deficit of $</w:t>
      </w:r>
      <w:r>
        <w:t>313 million, progressively improving to a surplus of $2.1 billion by 2016</w:t>
      </w:r>
      <w:r>
        <w:noBreakHyphen/>
        <w:t>17. This is largely due to the forecast performance of the general government sector, which improves from a $222 million surplus in 2013</w:t>
      </w:r>
      <w:r>
        <w:noBreakHyphen/>
        <w:t>14 to a $2.7 billion surplus by 2016</w:t>
      </w:r>
      <w:r>
        <w:noBreakHyphen/>
        <w:t>17. The trends driving this improvement have been discussed earlier in the chapter.</w:t>
      </w:r>
    </w:p>
    <w:p w:rsidR="00F60B5F" w:rsidRDefault="00F60B5F" w:rsidP="009266C7">
      <w:r>
        <w:t>The PNFC sector is projected to record deficits in the net result from transactions, ranging from $369 million in 2013</w:t>
      </w:r>
      <w:r>
        <w:noBreakHyphen/>
        <w:t>14 to $497 million in 2016</w:t>
      </w:r>
      <w:r>
        <w:noBreakHyphen/>
        <w:t>17. The deficits in the sector mainly reflect:</w:t>
      </w:r>
    </w:p>
    <w:p w:rsidR="00F60B5F" w:rsidRPr="001F0492" w:rsidRDefault="00F60B5F" w:rsidP="001F0492">
      <w:pPr>
        <w:pStyle w:val="BulletText"/>
      </w:pPr>
      <w:r w:rsidRPr="001F0492">
        <w:t xml:space="preserve">the funding arrangements in place for VicTrack, whereby grants from the general government sector are sufficient to allow a cash operating surplus, but </w:t>
      </w:r>
      <w:r>
        <w:t>do not fully fund</w:t>
      </w:r>
      <w:r w:rsidRPr="001F0492">
        <w:t xml:space="preserve"> depreciation</w:t>
      </w:r>
      <w:r>
        <w:t xml:space="preserve"> on a year by year basis</w:t>
      </w:r>
      <w:r w:rsidRPr="001F0492">
        <w:t>, resulting in operating losses; and</w:t>
      </w:r>
    </w:p>
    <w:p w:rsidR="00F60B5F" w:rsidRDefault="00F60B5F" w:rsidP="00E96EB9">
      <w:pPr>
        <w:pStyle w:val="BulletText"/>
      </w:pPr>
      <w:r w:rsidRPr="00E96EB9">
        <w:t>projected deficits in the Director of Housing across the forward estimates period. This is due to the impact of its current rental operating model which has relatively fixed revenue streams and escalating costs associated with managing a large and ageing asset portfolio</w:t>
      </w:r>
      <w:r>
        <w:t>.</w:t>
      </w:r>
    </w:p>
    <w:p w:rsidR="00F60B5F" w:rsidRPr="00FC2E66" w:rsidRDefault="00F60B5F" w:rsidP="009266C7">
      <w:r>
        <w:t>The forecast</w:t>
      </w:r>
      <w:r w:rsidRPr="00FC2E66">
        <w:t xml:space="preserve"> PNFC sector</w:t>
      </w:r>
      <w:r>
        <w:t xml:space="preserve"> deficits are higher than projected</w:t>
      </w:r>
      <w:r w:rsidRPr="00FC2E66">
        <w:t xml:space="preserve"> </w:t>
      </w:r>
      <w:r>
        <w:t>in</w:t>
      </w:r>
      <w:r w:rsidRPr="00FC2E66">
        <w:t xml:space="preserve"> the </w:t>
      </w:r>
      <w:r w:rsidRPr="00FC2E66">
        <w:rPr>
          <w:i/>
        </w:rPr>
        <w:t>2013</w:t>
      </w:r>
      <w:r>
        <w:rPr>
          <w:i/>
        </w:rPr>
        <w:noBreakHyphen/>
      </w:r>
      <w:r w:rsidRPr="00FC2E66">
        <w:rPr>
          <w:i/>
        </w:rPr>
        <w:t xml:space="preserve">14 Budget. </w:t>
      </w:r>
      <w:r w:rsidRPr="00FC2E66">
        <w:t xml:space="preserve">This mainly reflects lower profit forecasts for the metropolitan water businesses following the Essential Services Commission’s (ESC) final pricing decisions. The final ESC pricing decision released in June 2013 results in lower revenue </w:t>
      </w:r>
      <w:r>
        <w:t>outcomes</w:t>
      </w:r>
      <w:r w:rsidRPr="00FC2E66">
        <w:t xml:space="preserve"> for the water sector compared with earlier forecasts reflected in the </w:t>
      </w:r>
      <w:r w:rsidRPr="00FC2E66">
        <w:rPr>
          <w:i/>
        </w:rPr>
        <w:t>2013</w:t>
      </w:r>
      <w:r>
        <w:rPr>
          <w:i/>
        </w:rPr>
        <w:noBreakHyphen/>
      </w:r>
      <w:r w:rsidRPr="00FC2E66">
        <w:rPr>
          <w:i/>
        </w:rPr>
        <w:t>14 Budget</w:t>
      </w:r>
      <w:r w:rsidRPr="00FC2E66">
        <w:t xml:space="preserve">. </w:t>
      </w:r>
    </w:p>
    <w:p w:rsidR="00F60B5F" w:rsidRPr="00FC2E66" w:rsidRDefault="00F60B5F" w:rsidP="00EB6898">
      <w:pPr>
        <w:pStyle w:val="BulletText"/>
        <w:numPr>
          <w:ilvl w:val="0"/>
          <w:numId w:val="0"/>
        </w:numPr>
      </w:pPr>
      <w:r>
        <w:t xml:space="preserve">The impact of this lower revenue on the operating position has been constrained by lower projected </w:t>
      </w:r>
      <w:r w:rsidRPr="00FC2E66">
        <w:t xml:space="preserve">PNFC sector expenditure compared to </w:t>
      </w:r>
      <w:r w:rsidRPr="00FC2E66">
        <w:rPr>
          <w:i/>
        </w:rPr>
        <w:t>2013</w:t>
      </w:r>
      <w:r>
        <w:rPr>
          <w:i/>
        </w:rPr>
        <w:noBreakHyphen/>
      </w:r>
      <w:r w:rsidRPr="00FC2E66">
        <w:rPr>
          <w:i/>
        </w:rPr>
        <w:t>14 Budget</w:t>
      </w:r>
      <w:r w:rsidRPr="00FC2E66">
        <w:t xml:space="preserve"> and </w:t>
      </w:r>
      <w:r>
        <w:t xml:space="preserve">in particular </w:t>
      </w:r>
      <w:r w:rsidRPr="00FC2E66">
        <w:t>stronger operating performances from the transport sector</w:t>
      </w:r>
      <w:r>
        <w:t xml:space="preserve"> such as </w:t>
      </w:r>
      <w:r w:rsidRPr="00FC2E66">
        <w:t xml:space="preserve">savings and efficiencies to be delivered by V/Line Passenger Corporation under a new service agreement. </w:t>
      </w:r>
    </w:p>
    <w:p w:rsidR="00F60B5F" w:rsidRDefault="00F60B5F" w:rsidP="003C6A4E">
      <w:pPr>
        <w:pStyle w:val="BulletText"/>
        <w:numPr>
          <w:ilvl w:val="0"/>
          <w:numId w:val="0"/>
        </w:numPr>
      </w:pPr>
      <w:r>
        <w:t xml:space="preserve">PNFC sector interest and depreciation expense is projected to be lower compared with previous </w:t>
      </w:r>
      <w:r w:rsidRPr="00FC2E66">
        <w:t xml:space="preserve">estimates reflected in </w:t>
      </w:r>
      <w:r>
        <w:t xml:space="preserve">the </w:t>
      </w:r>
      <w:r w:rsidRPr="00FC2E66">
        <w:rPr>
          <w:i/>
        </w:rPr>
        <w:t>2013</w:t>
      </w:r>
      <w:r>
        <w:rPr>
          <w:i/>
        </w:rPr>
        <w:noBreakHyphen/>
      </w:r>
      <w:r w:rsidRPr="00FC2E66">
        <w:rPr>
          <w:i/>
        </w:rPr>
        <w:t>14 Budget</w:t>
      </w:r>
      <w:r>
        <w:t>, as the sector has moderated its capital infrastructure program.</w:t>
      </w:r>
    </w:p>
    <w:p w:rsidR="00F60B5F" w:rsidRDefault="00F60B5F" w:rsidP="00A4625F">
      <w:pPr>
        <w:pStyle w:val="BulletText"/>
        <w:numPr>
          <w:ilvl w:val="0"/>
          <w:numId w:val="0"/>
        </w:numPr>
      </w:pPr>
      <w:r>
        <w:t>Despite the forecast deficits, the</w:t>
      </w:r>
      <w:r w:rsidRPr="001F0492">
        <w:t xml:space="preserve"> PNFC sector is forecast to remain in a strong and sustainable position, as evidenced by improving operating</w:t>
      </w:r>
      <w:r>
        <w:t xml:space="preserve"> cash flow surpluses, </w:t>
      </w:r>
      <w:r w:rsidRPr="001F0492">
        <w:t>averag</w:t>
      </w:r>
      <w:r>
        <w:t>ing</w:t>
      </w:r>
      <w:r w:rsidRPr="001F0492">
        <w:t xml:space="preserve"> $1.</w:t>
      </w:r>
      <w:r>
        <w:t>4 billion</w:t>
      </w:r>
      <w:r w:rsidRPr="001F0492">
        <w:t xml:space="preserve"> a year across the budget and forward</w:t>
      </w:r>
      <w:r>
        <w:t xml:space="preserve"> estimates.</w:t>
      </w:r>
    </w:p>
    <w:p w:rsidR="00F60B5F" w:rsidRDefault="00F60B5F" w:rsidP="00C116CA">
      <w:pPr>
        <w:pStyle w:val="Heading2"/>
      </w:pPr>
      <w:r w:rsidRPr="00C116CA">
        <w:t>Application of cash resources</w:t>
      </w:r>
    </w:p>
    <w:p w:rsidR="00F60B5F" w:rsidRDefault="00F60B5F" w:rsidP="00EA6537">
      <w:r>
        <w:t>The NFP sector</w:t>
      </w:r>
      <w:r w:rsidRPr="00482891">
        <w:t xml:space="preserve"> is forecast to record growing operating cash flow surpluses across the budget and forward estimates period</w:t>
      </w:r>
      <w:r>
        <w:t xml:space="preserve">. </w:t>
      </w:r>
      <w:r w:rsidRPr="00482891">
        <w:t xml:space="preserve">Importantly, this will </w:t>
      </w:r>
      <w:r>
        <w:t>result in the</w:t>
      </w:r>
      <w:r w:rsidRPr="00482891">
        <w:t xml:space="preserve"> NFP</w:t>
      </w:r>
      <w:r>
        <w:t xml:space="preserve"> sector</w:t>
      </w:r>
      <w:r w:rsidRPr="00482891">
        <w:t xml:space="preserve"> infrastructure</w:t>
      </w:r>
      <w:r>
        <w:t xml:space="preserve"> program being fully funded</w:t>
      </w:r>
      <w:r w:rsidRPr="00482891">
        <w:t xml:space="preserve"> </w:t>
      </w:r>
      <w:r>
        <w:t xml:space="preserve">through net </w:t>
      </w:r>
      <w:r w:rsidRPr="00482891">
        <w:t xml:space="preserve">operating cash </w:t>
      </w:r>
      <w:r>
        <w:t>in</w:t>
      </w:r>
      <w:r w:rsidRPr="00482891">
        <w:t>flow</w:t>
      </w:r>
      <w:r>
        <w:t>s</w:t>
      </w:r>
      <w:r w:rsidRPr="00482891">
        <w:t xml:space="preserve"> without relying on</w:t>
      </w:r>
      <w:r>
        <w:t xml:space="preserve"> increased</w:t>
      </w:r>
      <w:r w:rsidRPr="00482891">
        <w:t xml:space="preserve"> debt by 2015</w:t>
      </w:r>
      <w:r>
        <w:noBreakHyphen/>
      </w:r>
      <w:r w:rsidRPr="00482891">
        <w:t>16</w:t>
      </w:r>
      <w:r>
        <w:t>. As a result, net debt will start to fall in 2015</w:t>
      </w:r>
      <w:r>
        <w:noBreakHyphen/>
        <w:t xml:space="preserve">16. </w:t>
      </w:r>
      <w:r w:rsidRPr="00482891">
        <w:t>This</w:t>
      </w:r>
      <w:r>
        <w:t xml:space="preserve"> </w:t>
      </w:r>
      <w:r w:rsidRPr="00482891">
        <w:t>enables the State to deliver significant infrastructure projects without compromising debt sustainability.</w:t>
      </w:r>
    </w:p>
    <w:p w:rsidR="00F60B5F" w:rsidRDefault="00F60B5F" w:rsidP="00991B03">
      <w:pPr>
        <w:rPr>
          <w:highlight w:val="yellow"/>
        </w:rPr>
      </w:pPr>
    </w:p>
    <w:p w:rsidR="00F60B5F" w:rsidRDefault="00F60B5F">
      <w:pPr>
        <w:spacing w:after="0"/>
        <w:rPr>
          <w:rFonts w:ascii="Calibri" w:hAnsi="Calibri"/>
          <w:b/>
        </w:rPr>
      </w:pPr>
      <w:r>
        <w:br w:type="page"/>
      </w:r>
    </w:p>
    <w:p w:rsidR="00F60B5F" w:rsidRDefault="00F60B5F" w:rsidP="00C116CA">
      <w:pPr>
        <w:pStyle w:val="Tableheading"/>
      </w:pPr>
      <w:r w:rsidRPr="00C116CA">
        <w:t xml:space="preserve">Table 3.7: </w:t>
      </w:r>
      <w:r>
        <w:tab/>
      </w:r>
      <w:r w:rsidRPr="00C116CA">
        <w:t>Application of cash resources for the non</w:t>
      </w:r>
      <w:r>
        <w:noBreakHyphen/>
      </w:r>
      <w:r w:rsidRPr="00C116CA">
        <w:t>financial public sector</w:t>
      </w:r>
    </w:p>
    <w:p w:rsidR="00F60B5F" w:rsidRPr="00FF3858" w:rsidRDefault="00F60B5F" w:rsidP="00FF3858">
      <w:pPr>
        <w:pStyle w:val="million"/>
      </w:pPr>
      <w:r w:rsidRPr="007A35C9">
        <w:t>($</w:t>
      </w:r>
      <w:r>
        <w:t> million</w:t>
      </w:r>
      <w:r w:rsidRPr="007A35C9">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60B5F" w:rsidRPr="00FF3858" w:rsidTr="00FF3858">
        <w:trPr>
          <w:cantSplit/>
        </w:trPr>
        <w:tc>
          <w:tcPr>
            <w:tcW w:w="2808" w:type="dxa"/>
            <w:tcBorders>
              <w:top w:val="single" w:sz="4" w:space="0" w:color="auto"/>
              <w:left w:val="single" w:sz="4" w:space="0" w:color="auto"/>
              <w:bottom w:val="nil"/>
              <w:right w:val="nil"/>
            </w:tcBorders>
            <w:shd w:val="clear" w:color="auto" w:fill="000000"/>
          </w:tcPr>
          <w:p w:rsidR="00F60B5F" w:rsidRPr="00FF3858" w:rsidRDefault="00F60B5F" w:rsidP="00FF3858">
            <w:pPr>
              <w:pStyle w:val="Tabletext"/>
              <w:rPr>
                <w:rFonts w:eastAsiaTheme="minorEastAsia"/>
                <w:lang w:eastAsia="en-AU"/>
              </w:rPr>
            </w:pPr>
            <w:r w:rsidRPr="00FF3858">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2012</w:t>
            </w:r>
            <w:r>
              <w:rPr>
                <w:rFonts w:eastAsiaTheme="minorEastAsia"/>
                <w:lang w:eastAsia="en-AU"/>
              </w:rPr>
              <w:noBreakHyphen/>
            </w:r>
            <w:r w:rsidRPr="00FF3858">
              <w:rPr>
                <w:rFonts w:eastAsiaTheme="minorEastAsia"/>
                <w:lang w:eastAsia="en-AU"/>
              </w:rPr>
              <w:t>13</w:t>
            </w:r>
          </w:p>
        </w:tc>
        <w:tc>
          <w:tcPr>
            <w:tcW w:w="993" w:type="dxa"/>
            <w:tcBorders>
              <w:top w:val="single" w:sz="4" w:space="0" w:color="auto"/>
              <w:left w:val="nil"/>
              <w:bottom w:val="nil"/>
              <w:right w:val="nil"/>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2013</w:t>
            </w:r>
            <w:r>
              <w:rPr>
                <w:rFonts w:eastAsiaTheme="minorEastAsia"/>
                <w:lang w:eastAsia="en-AU"/>
              </w:rPr>
              <w:noBreakHyphen/>
            </w:r>
            <w:r w:rsidRPr="00FF3858">
              <w:rPr>
                <w:rFonts w:eastAsiaTheme="minorEastAsia"/>
                <w:lang w:eastAsia="en-AU"/>
              </w:rPr>
              <w:t>14</w:t>
            </w:r>
          </w:p>
        </w:tc>
        <w:tc>
          <w:tcPr>
            <w:tcW w:w="993" w:type="dxa"/>
            <w:tcBorders>
              <w:top w:val="single" w:sz="4" w:space="0" w:color="auto"/>
              <w:left w:val="nil"/>
              <w:bottom w:val="nil"/>
              <w:right w:val="nil"/>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2014</w:t>
            </w:r>
            <w:r>
              <w:rPr>
                <w:rFonts w:eastAsiaTheme="minorEastAsia"/>
                <w:lang w:eastAsia="en-AU"/>
              </w:rPr>
              <w:noBreakHyphen/>
            </w:r>
            <w:r w:rsidRPr="00FF3858">
              <w:rPr>
                <w:rFonts w:eastAsiaTheme="minorEastAsia"/>
                <w:lang w:eastAsia="en-AU"/>
              </w:rPr>
              <w:t>15</w:t>
            </w:r>
          </w:p>
        </w:tc>
        <w:tc>
          <w:tcPr>
            <w:tcW w:w="993" w:type="dxa"/>
            <w:tcBorders>
              <w:top w:val="single" w:sz="4" w:space="0" w:color="auto"/>
              <w:left w:val="nil"/>
              <w:bottom w:val="nil"/>
              <w:right w:val="nil"/>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2015</w:t>
            </w:r>
            <w:r>
              <w:rPr>
                <w:rFonts w:eastAsiaTheme="minorEastAsia"/>
                <w:lang w:eastAsia="en-AU"/>
              </w:rPr>
              <w:noBreakHyphen/>
            </w:r>
            <w:r w:rsidRPr="00FF3858">
              <w:rPr>
                <w:rFonts w:eastAsiaTheme="minorEastAsia"/>
                <w:lang w:eastAsia="en-AU"/>
              </w:rPr>
              <w:t>16</w:t>
            </w:r>
          </w:p>
        </w:tc>
        <w:tc>
          <w:tcPr>
            <w:tcW w:w="993" w:type="dxa"/>
            <w:tcBorders>
              <w:top w:val="single" w:sz="4" w:space="0" w:color="auto"/>
              <w:left w:val="nil"/>
              <w:bottom w:val="nil"/>
              <w:right w:val="single" w:sz="4" w:space="0" w:color="auto"/>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2016</w:t>
            </w:r>
            <w:r>
              <w:rPr>
                <w:rFonts w:eastAsiaTheme="minorEastAsia"/>
                <w:lang w:eastAsia="en-AU"/>
              </w:rPr>
              <w:noBreakHyphen/>
            </w:r>
            <w:r w:rsidRPr="00FF3858">
              <w:rPr>
                <w:rFonts w:eastAsiaTheme="minorEastAsia"/>
                <w:lang w:eastAsia="en-AU"/>
              </w:rPr>
              <w:t>17</w:t>
            </w:r>
          </w:p>
        </w:tc>
      </w:tr>
      <w:tr w:rsidR="00F60B5F" w:rsidRPr="00FF3858" w:rsidTr="00FF3858">
        <w:trPr>
          <w:cantSplit/>
        </w:trPr>
        <w:tc>
          <w:tcPr>
            <w:tcW w:w="2808" w:type="dxa"/>
            <w:tcBorders>
              <w:top w:val="nil"/>
              <w:left w:val="single" w:sz="4" w:space="0" w:color="auto"/>
              <w:bottom w:val="single" w:sz="4" w:space="0" w:color="auto"/>
              <w:right w:val="nil"/>
            </w:tcBorders>
            <w:shd w:val="clear" w:color="auto" w:fill="000000"/>
          </w:tcPr>
          <w:p w:rsidR="00F60B5F" w:rsidRPr="00FF3858" w:rsidRDefault="00F60B5F" w:rsidP="00FF3858">
            <w:pPr>
              <w:pStyle w:val="Tabletext"/>
              <w:rPr>
                <w:rFonts w:eastAsiaTheme="minorEastAsia"/>
                <w:lang w:eastAsia="en-AU"/>
              </w:rPr>
            </w:pPr>
            <w:r w:rsidRPr="00FF3858">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60B5F" w:rsidRPr="00FF3858" w:rsidRDefault="00F60B5F" w:rsidP="00FF3858">
            <w:pPr>
              <w:pStyle w:val="Tabletextheading"/>
              <w:rPr>
                <w:rFonts w:eastAsiaTheme="minorEastAsia"/>
                <w:lang w:eastAsia="en-AU"/>
              </w:rPr>
            </w:pPr>
            <w:r w:rsidRPr="00FF3858">
              <w:rPr>
                <w:rFonts w:eastAsiaTheme="minorEastAsia"/>
                <w:lang w:eastAsia="en-AU"/>
              </w:rPr>
              <w:t>Estimate</w:t>
            </w:r>
          </w:p>
        </w:tc>
      </w:tr>
      <w:tr w:rsidR="00F60B5F" w:rsidRPr="00FF3858" w:rsidTr="00FF3858">
        <w:trPr>
          <w:cantSplit/>
        </w:trPr>
        <w:tc>
          <w:tcPr>
            <w:tcW w:w="2808" w:type="dxa"/>
            <w:tcBorders>
              <w:top w:val="single" w:sz="4" w:space="0" w:color="auto"/>
              <w:left w:val="nil"/>
              <w:bottom w:val="nil"/>
              <w:right w:val="nil"/>
            </w:tcBorders>
          </w:tcPr>
          <w:p w:rsidR="00F60B5F" w:rsidRPr="00FF3858" w:rsidRDefault="00F60B5F" w:rsidP="00FF3858">
            <w:pPr>
              <w:pStyle w:val="Tabletext"/>
              <w:rPr>
                <w:rFonts w:eastAsiaTheme="minorEastAsia"/>
                <w:b/>
                <w:bCs/>
                <w:color w:val="000000"/>
                <w:lang w:eastAsia="en-AU"/>
              </w:rPr>
            </w:pPr>
            <w:r w:rsidRPr="00FF3858">
              <w:rPr>
                <w:rFonts w:eastAsiaTheme="minorEastAsia"/>
                <w:b/>
                <w:bCs/>
                <w:color w:val="000000"/>
                <w:lang w:eastAsia="en-AU"/>
              </w:rPr>
              <w:t>Net result from transactions</w:t>
            </w:r>
          </w:p>
        </w:tc>
        <w:tc>
          <w:tcPr>
            <w:tcW w:w="993" w:type="dxa"/>
            <w:tcBorders>
              <w:top w:val="single" w:sz="4" w:space="0" w:color="auto"/>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(1 699.9)</w:t>
            </w:r>
          </w:p>
        </w:tc>
        <w:tc>
          <w:tcPr>
            <w:tcW w:w="993" w:type="dxa"/>
            <w:tcBorders>
              <w:top w:val="single" w:sz="4" w:space="0" w:color="auto"/>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( 312.9)</w:t>
            </w:r>
          </w:p>
        </w:tc>
        <w:tc>
          <w:tcPr>
            <w:tcW w:w="993" w:type="dxa"/>
            <w:tcBorders>
              <w:top w:val="single" w:sz="4" w:space="0" w:color="auto"/>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450.7</w:t>
            </w:r>
          </w:p>
        </w:tc>
        <w:tc>
          <w:tcPr>
            <w:tcW w:w="993" w:type="dxa"/>
            <w:tcBorders>
              <w:top w:val="single" w:sz="4" w:space="0" w:color="auto"/>
              <w:left w:val="nil"/>
              <w:bottom w:val="nil"/>
              <w:right w:val="nil"/>
            </w:tcBorders>
          </w:tcPr>
          <w:p w:rsidR="00F60B5F" w:rsidRPr="00FF3858" w:rsidRDefault="00F60B5F" w:rsidP="00FF3858">
            <w:pPr>
              <w:pStyle w:val="TableofFigures"/>
              <w:rPr>
                <w:rFonts w:eastAsiaTheme="minorEastAsia" w:cs="Calibri"/>
                <w:color w:val="000000"/>
                <w:lang w:eastAsia="en-AU"/>
              </w:rPr>
            </w:pPr>
            <w:r w:rsidRPr="00FF3858">
              <w:rPr>
                <w:rFonts w:eastAsiaTheme="minorEastAsia"/>
                <w:color w:val="000000"/>
                <w:lang w:eastAsia="en-AU"/>
              </w:rPr>
              <w:t>1 450.6</w:t>
            </w:r>
          </w:p>
        </w:tc>
        <w:tc>
          <w:tcPr>
            <w:tcW w:w="993" w:type="dxa"/>
            <w:tcBorders>
              <w:top w:val="single" w:sz="4" w:space="0" w:color="auto"/>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2 063.9</w:t>
            </w:r>
          </w:p>
        </w:tc>
      </w:tr>
      <w:tr w:rsidR="00F60B5F" w:rsidRPr="00FF3858" w:rsidTr="00FF3858">
        <w:trPr>
          <w:cantSplit/>
        </w:trPr>
        <w:tc>
          <w:tcPr>
            <w:tcW w:w="2808" w:type="dxa"/>
            <w:tcBorders>
              <w:top w:val="nil"/>
              <w:left w:val="nil"/>
              <w:bottom w:val="single" w:sz="6" w:space="0" w:color="auto"/>
              <w:right w:val="nil"/>
            </w:tcBorders>
          </w:tcPr>
          <w:p w:rsidR="00F60B5F" w:rsidRPr="00FF3858" w:rsidRDefault="00F60B5F" w:rsidP="000132EB">
            <w:pPr>
              <w:pStyle w:val="Tabletext"/>
              <w:rPr>
                <w:rFonts w:eastAsiaTheme="minorEastAsia"/>
                <w:color w:val="000000"/>
                <w:vertAlign w:val="superscript"/>
                <w:lang w:eastAsia="en-AU"/>
              </w:rPr>
            </w:pPr>
            <w:r w:rsidRPr="00FF3858">
              <w:rPr>
                <w:rFonts w:eastAsiaTheme="minorEastAsia"/>
                <w:color w:val="000000"/>
                <w:lang w:eastAsia="en-AU"/>
              </w:rPr>
              <w:t xml:space="preserve">Add back: </w:t>
            </w:r>
            <w:r>
              <w:rPr>
                <w:rFonts w:eastAsiaTheme="minorEastAsia"/>
                <w:color w:val="000000"/>
                <w:lang w:eastAsia="en-AU"/>
              </w:rPr>
              <w:t>n</w:t>
            </w:r>
            <w:r w:rsidRPr="00FF3858">
              <w:rPr>
                <w:rFonts w:eastAsiaTheme="minorEastAsia"/>
                <w:color w:val="000000"/>
                <w:lang w:eastAsia="en-AU"/>
              </w:rPr>
              <w:t>on</w:t>
            </w:r>
            <w:r>
              <w:rPr>
                <w:rFonts w:eastAsiaTheme="minorEastAsia"/>
                <w:color w:val="000000"/>
                <w:lang w:eastAsia="en-AU"/>
              </w:rPr>
              <w:noBreakHyphen/>
            </w:r>
            <w:r w:rsidRPr="00FF3858">
              <w:rPr>
                <w:rFonts w:eastAsiaTheme="minorEastAsia"/>
                <w:color w:val="000000"/>
                <w:lang w:eastAsia="en-AU"/>
              </w:rPr>
              <w:t xml:space="preserve">cash income and expenses (net) </w:t>
            </w:r>
            <w:r w:rsidRPr="00FF3858">
              <w:rPr>
                <w:rFonts w:eastAsiaTheme="minorEastAsia"/>
                <w:color w:val="000000"/>
                <w:vertAlign w:val="superscript"/>
                <w:lang w:eastAsia="en-AU"/>
              </w:rPr>
              <w:t>(a)</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4 197.4</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3 970.3</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4 250.6</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4 561.4</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4 632.7</w:t>
            </w:r>
          </w:p>
        </w:tc>
      </w:tr>
      <w:tr w:rsidR="00F60B5F" w:rsidRPr="00FF3858" w:rsidTr="00FF3858">
        <w:trPr>
          <w:cantSplit/>
        </w:trPr>
        <w:tc>
          <w:tcPr>
            <w:tcW w:w="2808" w:type="dxa"/>
            <w:tcBorders>
              <w:top w:val="single" w:sz="6" w:space="0" w:color="auto"/>
              <w:left w:val="nil"/>
              <w:bottom w:val="nil"/>
              <w:right w:val="nil"/>
            </w:tcBorders>
          </w:tcPr>
          <w:p w:rsidR="00F60B5F" w:rsidRPr="00FF3858" w:rsidRDefault="00F60B5F" w:rsidP="00FF3858">
            <w:pPr>
              <w:pStyle w:val="Tabletext"/>
              <w:rPr>
                <w:rFonts w:eastAsiaTheme="minorEastAsia"/>
                <w:b/>
                <w:bCs/>
                <w:color w:val="000000"/>
                <w:lang w:eastAsia="en-AU"/>
              </w:rPr>
            </w:pPr>
            <w:r w:rsidRPr="00FF3858">
              <w:rPr>
                <w:rFonts w:eastAsiaTheme="minorEastAsia"/>
                <w:b/>
                <w:bCs/>
                <w:color w:val="000000"/>
                <w:lang w:eastAsia="en-AU"/>
              </w:rPr>
              <w:t xml:space="preserve">Net cash flows from operating activities </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2 497.5</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3 657.4</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4 701.4</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6 011.9</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6 696.7</w:t>
            </w:r>
          </w:p>
        </w:tc>
      </w:tr>
      <w:tr w:rsidR="00F60B5F" w:rsidRPr="00FF3858" w:rsidTr="00FF3858">
        <w:trPr>
          <w:cantSplit/>
        </w:trPr>
        <w:tc>
          <w:tcPr>
            <w:tcW w:w="2808" w:type="dxa"/>
            <w:tcBorders>
              <w:top w:val="nil"/>
              <w:left w:val="nil"/>
              <w:bottom w:val="nil"/>
              <w:right w:val="nil"/>
            </w:tcBorders>
          </w:tcPr>
          <w:p w:rsidR="00F60B5F" w:rsidRPr="00FF3858" w:rsidRDefault="00F60B5F" w:rsidP="00FF3858">
            <w:pPr>
              <w:pStyle w:val="Tabletext"/>
              <w:rPr>
                <w:rFonts w:eastAsiaTheme="minorEastAsia"/>
                <w:color w:val="000000"/>
                <w:lang w:eastAsia="en-AU"/>
              </w:rPr>
            </w:pPr>
            <w:r w:rsidRPr="00FF3858">
              <w:rPr>
                <w:rFonts w:eastAsiaTheme="minorEastAsia"/>
                <w:color w:val="000000"/>
                <w:lang w:eastAsia="en-AU"/>
              </w:rPr>
              <w:t>Less:</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r>
      <w:tr w:rsidR="00F60B5F" w:rsidRPr="00FF3858" w:rsidTr="00FF3858">
        <w:trPr>
          <w:cantSplit/>
        </w:trPr>
        <w:tc>
          <w:tcPr>
            <w:tcW w:w="2808" w:type="dxa"/>
            <w:tcBorders>
              <w:top w:val="nil"/>
              <w:left w:val="nil"/>
              <w:bottom w:val="nil"/>
              <w:right w:val="nil"/>
            </w:tcBorders>
          </w:tcPr>
          <w:p w:rsidR="00F60B5F" w:rsidRPr="00FF3858" w:rsidRDefault="00F60B5F" w:rsidP="00FF3858">
            <w:pPr>
              <w:pStyle w:val="Tabletext"/>
              <w:rPr>
                <w:rFonts w:eastAsiaTheme="minorEastAsia"/>
                <w:b/>
                <w:bCs/>
                <w:color w:val="000000"/>
                <w:lang w:eastAsia="en-AU"/>
              </w:rPr>
            </w:pPr>
            <w:r w:rsidRPr="00FF3858">
              <w:rPr>
                <w:rFonts w:eastAsiaTheme="minorEastAsia"/>
                <w:b/>
                <w:bCs/>
                <w:color w:val="000000"/>
                <w:lang w:eastAsia="en-AU"/>
              </w:rPr>
              <w:t>Net investment in fixed assets</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p>
        </w:tc>
      </w:tr>
      <w:tr w:rsidR="00F60B5F" w:rsidRPr="00FF3858" w:rsidTr="00FF3858">
        <w:trPr>
          <w:cantSplit/>
        </w:trPr>
        <w:tc>
          <w:tcPr>
            <w:tcW w:w="2808" w:type="dxa"/>
            <w:tcBorders>
              <w:top w:val="nil"/>
              <w:left w:val="nil"/>
              <w:bottom w:val="nil"/>
              <w:right w:val="nil"/>
            </w:tcBorders>
          </w:tcPr>
          <w:p w:rsidR="00F60B5F" w:rsidRPr="00FF3858" w:rsidRDefault="00F60B5F" w:rsidP="00FF3858">
            <w:pPr>
              <w:pStyle w:val="Tabletext"/>
              <w:rPr>
                <w:rFonts w:eastAsiaTheme="minorEastAsia"/>
                <w:color w:val="000000"/>
                <w:lang w:eastAsia="en-AU"/>
              </w:rPr>
            </w:pPr>
            <w:r w:rsidRPr="00FF3858">
              <w:rPr>
                <w:rFonts w:eastAsiaTheme="minorEastAsia"/>
                <w:color w:val="000000"/>
                <w:lang w:eastAsia="en-AU"/>
              </w:rPr>
              <w:t>Expenditure on approved projects</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7 497.4</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8 096.9</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7 813.9</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4 924.0</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5 435.0</w:t>
            </w:r>
          </w:p>
        </w:tc>
      </w:tr>
      <w:tr w:rsidR="00F60B5F" w:rsidRPr="00FF3858" w:rsidTr="00FF3858">
        <w:trPr>
          <w:cantSplit/>
        </w:trPr>
        <w:tc>
          <w:tcPr>
            <w:tcW w:w="2808" w:type="dxa"/>
            <w:tcBorders>
              <w:top w:val="nil"/>
              <w:left w:val="nil"/>
              <w:bottom w:val="nil"/>
              <w:right w:val="nil"/>
            </w:tcBorders>
          </w:tcPr>
          <w:p w:rsidR="00F60B5F" w:rsidRPr="00FF3858" w:rsidRDefault="00F60B5F" w:rsidP="00FF3858">
            <w:pPr>
              <w:pStyle w:val="Tabletext"/>
              <w:rPr>
                <w:rFonts w:eastAsiaTheme="minorEastAsia"/>
                <w:color w:val="000000"/>
                <w:vertAlign w:val="superscript"/>
                <w:lang w:eastAsia="en-AU"/>
              </w:rPr>
            </w:pPr>
            <w:r w:rsidRPr="00FF3858">
              <w:rPr>
                <w:rFonts w:eastAsiaTheme="minorEastAsia"/>
                <w:color w:val="000000"/>
                <w:lang w:eastAsia="en-AU"/>
              </w:rPr>
              <w:t xml:space="preserve">Capital provision approved but not yet allocated </w:t>
            </w:r>
            <w:r w:rsidRPr="00FF3858">
              <w:rPr>
                <w:rFonts w:eastAsiaTheme="minorEastAsia"/>
                <w:color w:val="000000"/>
                <w:vertAlign w:val="superscript"/>
                <w:lang w:eastAsia="en-AU"/>
              </w:rPr>
              <w:t>(b)</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164.5</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428.8</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734.1</w:t>
            </w:r>
          </w:p>
        </w:tc>
      </w:tr>
      <w:tr w:rsidR="00F60B5F" w:rsidRPr="00FF3858" w:rsidTr="00FF3858">
        <w:trPr>
          <w:cantSplit/>
        </w:trPr>
        <w:tc>
          <w:tcPr>
            <w:tcW w:w="2808" w:type="dxa"/>
            <w:tcBorders>
              <w:top w:val="nil"/>
              <w:left w:val="nil"/>
              <w:bottom w:val="nil"/>
              <w:right w:val="nil"/>
            </w:tcBorders>
          </w:tcPr>
          <w:p w:rsidR="00F60B5F" w:rsidRPr="00FF3858" w:rsidRDefault="00F60B5F" w:rsidP="00FF3858">
            <w:pPr>
              <w:pStyle w:val="Tabletext"/>
              <w:rPr>
                <w:rFonts w:eastAsiaTheme="minorEastAsia"/>
                <w:color w:val="000000"/>
                <w:lang w:eastAsia="en-AU"/>
              </w:rPr>
            </w:pPr>
            <w:r w:rsidRPr="00FF3858">
              <w:rPr>
                <w:rFonts w:eastAsiaTheme="minorEastAsia"/>
                <w:color w:val="000000"/>
                <w:lang w:eastAsia="en-AU"/>
              </w:rPr>
              <w:t>Proceeds from asset sales</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( 404.4)</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( 507.8)</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( 535.1)</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( 572.7)</w:t>
            </w:r>
          </w:p>
        </w:tc>
        <w:tc>
          <w:tcPr>
            <w:tcW w:w="993" w:type="dxa"/>
            <w:tcBorders>
              <w:top w:val="nil"/>
              <w:left w:val="nil"/>
              <w:bottom w:val="single" w:sz="6" w:space="0" w:color="auto"/>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( 518.3)</w:t>
            </w:r>
          </w:p>
        </w:tc>
      </w:tr>
      <w:tr w:rsidR="00F60B5F" w:rsidRPr="00FF3858" w:rsidTr="00FF3858">
        <w:trPr>
          <w:cantSplit/>
        </w:trPr>
        <w:tc>
          <w:tcPr>
            <w:tcW w:w="2808" w:type="dxa"/>
            <w:tcBorders>
              <w:top w:val="single" w:sz="6" w:space="0" w:color="auto"/>
              <w:left w:val="nil"/>
              <w:bottom w:val="nil"/>
              <w:right w:val="nil"/>
            </w:tcBorders>
          </w:tcPr>
          <w:p w:rsidR="00F60B5F" w:rsidRPr="00FF3858" w:rsidRDefault="00F60B5F" w:rsidP="00FF3858">
            <w:pPr>
              <w:pStyle w:val="Tabletext"/>
              <w:rPr>
                <w:rFonts w:eastAsiaTheme="minorEastAsia"/>
                <w:b/>
                <w:bCs/>
                <w:color w:val="000000"/>
                <w:lang w:eastAsia="en-AU"/>
              </w:rPr>
            </w:pPr>
            <w:r w:rsidRPr="00FF3858">
              <w:rPr>
                <w:rFonts w:eastAsiaTheme="minorEastAsia"/>
                <w:b/>
                <w:bCs/>
                <w:color w:val="000000"/>
                <w:lang w:eastAsia="en-AU"/>
              </w:rPr>
              <w:t xml:space="preserve">Total net investment in fixed assets </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7 093.0</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7 589.1</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7 443.3</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4 780.1</w:t>
            </w:r>
          </w:p>
        </w:tc>
        <w:tc>
          <w:tcPr>
            <w:tcW w:w="993" w:type="dxa"/>
            <w:tcBorders>
              <w:top w:val="single" w:sz="6" w:space="0" w:color="auto"/>
              <w:left w:val="nil"/>
              <w:bottom w:val="nil"/>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5 650.7</w:t>
            </w:r>
          </w:p>
        </w:tc>
      </w:tr>
      <w:tr w:rsidR="00F60B5F" w:rsidRPr="00FF3858" w:rsidTr="00FF3858">
        <w:trPr>
          <w:cantSplit/>
        </w:trPr>
        <w:tc>
          <w:tcPr>
            <w:tcW w:w="2808" w:type="dxa"/>
            <w:tcBorders>
              <w:top w:val="nil"/>
              <w:left w:val="nil"/>
              <w:bottom w:val="nil"/>
              <w:right w:val="nil"/>
            </w:tcBorders>
          </w:tcPr>
          <w:p w:rsidR="00F60B5F" w:rsidRPr="00FF3858" w:rsidRDefault="00F60B5F" w:rsidP="00FF3858">
            <w:pPr>
              <w:pStyle w:val="Tabletext"/>
              <w:rPr>
                <w:rFonts w:eastAsiaTheme="minorEastAsia"/>
                <w:color w:val="000000"/>
                <w:vertAlign w:val="superscript"/>
                <w:lang w:eastAsia="en-AU"/>
              </w:rPr>
            </w:pPr>
            <w:r w:rsidRPr="00FF3858">
              <w:rPr>
                <w:rFonts w:eastAsiaTheme="minorEastAsia"/>
                <w:color w:val="000000"/>
                <w:lang w:eastAsia="en-AU"/>
              </w:rPr>
              <w:t xml:space="preserve">Finance leases </w:t>
            </w:r>
            <w:r w:rsidRPr="00FF3858">
              <w:rPr>
                <w:rFonts w:eastAsiaTheme="minorEastAsia"/>
                <w:color w:val="000000"/>
                <w:vertAlign w:val="superscript"/>
                <w:lang w:eastAsia="en-AU"/>
              </w:rPr>
              <w:t>(c)</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5 433.8</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111.0</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36.4</w:t>
            </w:r>
          </w:p>
        </w:tc>
        <w:tc>
          <w:tcPr>
            <w:tcW w:w="993" w:type="dxa"/>
            <w:tcBorders>
              <w:top w:val="nil"/>
              <w:left w:val="nil"/>
              <w:bottom w:val="nil"/>
              <w:right w:val="nil"/>
            </w:tcBorders>
          </w:tcPr>
          <w:p w:rsidR="00F60B5F" w:rsidRPr="00FF3858" w:rsidRDefault="00F60B5F" w:rsidP="00FF3858">
            <w:pPr>
              <w:pStyle w:val="TableofFigures"/>
              <w:rPr>
                <w:rFonts w:eastAsiaTheme="minorEastAsia" w:cs="Calibri"/>
                <w:color w:val="000000"/>
                <w:lang w:eastAsia="en-AU"/>
              </w:rPr>
            </w:pPr>
            <w:r w:rsidRPr="00FF3858">
              <w:rPr>
                <w:rFonts w:eastAsiaTheme="minorEastAsia"/>
                <w:color w:val="000000"/>
                <w:lang w:eastAsia="en-AU"/>
              </w:rPr>
              <w:t>1 050.4</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279.3</w:t>
            </w:r>
          </w:p>
        </w:tc>
      </w:tr>
      <w:tr w:rsidR="00F60B5F" w:rsidRPr="00FF3858" w:rsidTr="00FF3858">
        <w:trPr>
          <w:cantSplit/>
        </w:trPr>
        <w:tc>
          <w:tcPr>
            <w:tcW w:w="2808" w:type="dxa"/>
            <w:tcBorders>
              <w:top w:val="nil"/>
              <w:left w:val="nil"/>
              <w:bottom w:val="single" w:sz="6" w:space="0" w:color="auto"/>
              <w:right w:val="nil"/>
            </w:tcBorders>
          </w:tcPr>
          <w:p w:rsidR="00F60B5F" w:rsidRPr="00FF3858" w:rsidRDefault="00F60B5F" w:rsidP="00FF3858">
            <w:pPr>
              <w:pStyle w:val="Tabletext"/>
              <w:rPr>
                <w:rFonts w:eastAsiaTheme="minorEastAsia"/>
                <w:color w:val="000000"/>
                <w:lang w:eastAsia="en-AU"/>
              </w:rPr>
            </w:pPr>
            <w:r w:rsidRPr="00FF3858">
              <w:rPr>
                <w:rFonts w:eastAsiaTheme="minorEastAsia"/>
                <w:color w:val="000000"/>
                <w:lang w:eastAsia="en-AU"/>
              </w:rPr>
              <w:t>Other investment activities (net)</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( 65.6)</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18.1</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xml:space="preserve"> 7.3</w:t>
            </w:r>
          </w:p>
        </w:tc>
        <w:tc>
          <w:tcPr>
            <w:tcW w:w="993" w:type="dxa"/>
            <w:tcBorders>
              <w:top w:val="nil"/>
              <w:left w:val="nil"/>
              <w:bottom w:val="nil"/>
              <w:right w:val="nil"/>
            </w:tcBorders>
          </w:tcPr>
          <w:p w:rsidR="00F60B5F" w:rsidRPr="00FF3858" w:rsidRDefault="00F60B5F" w:rsidP="00FF3858">
            <w:pPr>
              <w:pStyle w:val="TableofFigures"/>
              <w:rPr>
                <w:rFonts w:eastAsiaTheme="minorEastAsia" w:cs="Calibri"/>
                <w:color w:val="000000"/>
                <w:lang w:eastAsia="en-AU"/>
              </w:rPr>
            </w:pPr>
            <w:r w:rsidRPr="00FF3858">
              <w:rPr>
                <w:rFonts w:eastAsiaTheme="minorEastAsia"/>
                <w:color w:val="000000"/>
                <w:lang w:eastAsia="en-AU"/>
              </w:rPr>
              <w:t>( 2.3</w:t>
            </w:r>
            <w:r w:rsidRPr="00FF3858">
              <w:rPr>
                <w:rFonts w:eastAsiaTheme="minorEastAsia" w:cs="Calibri"/>
                <w:color w:val="000000"/>
                <w:lang w:eastAsia="en-AU"/>
              </w:rPr>
              <w:t>)</w:t>
            </w:r>
          </w:p>
        </w:tc>
        <w:tc>
          <w:tcPr>
            <w:tcW w:w="993" w:type="dxa"/>
            <w:tcBorders>
              <w:top w:val="nil"/>
              <w:left w:val="nil"/>
              <w:bottom w:val="nil"/>
              <w:right w:val="nil"/>
            </w:tcBorders>
          </w:tcPr>
          <w:p w:rsidR="00F60B5F" w:rsidRPr="00FF3858" w:rsidRDefault="00F60B5F" w:rsidP="00FF3858">
            <w:pPr>
              <w:pStyle w:val="TableofFigures"/>
              <w:rPr>
                <w:rFonts w:eastAsiaTheme="minorEastAsia"/>
                <w:color w:val="000000"/>
                <w:lang w:eastAsia="en-AU"/>
              </w:rPr>
            </w:pPr>
            <w:r w:rsidRPr="00FF3858">
              <w:rPr>
                <w:rFonts w:eastAsiaTheme="minorEastAsia"/>
                <w:color w:val="000000"/>
                <w:lang w:eastAsia="en-AU"/>
              </w:rPr>
              <w:t>( 1.2)</w:t>
            </w:r>
          </w:p>
        </w:tc>
      </w:tr>
      <w:tr w:rsidR="00F60B5F" w:rsidRPr="00FF3858" w:rsidTr="00FF3858">
        <w:trPr>
          <w:cantSplit/>
        </w:trPr>
        <w:tc>
          <w:tcPr>
            <w:tcW w:w="2808" w:type="dxa"/>
            <w:tcBorders>
              <w:top w:val="single" w:sz="6" w:space="0" w:color="auto"/>
              <w:left w:val="nil"/>
              <w:bottom w:val="single" w:sz="12" w:space="0" w:color="auto"/>
              <w:right w:val="nil"/>
            </w:tcBorders>
          </w:tcPr>
          <w:p w:rsidR="00F60B5F" w:rsidRPr="00FF3858" w:rsidRDefault="00F60B5F" w:rsidP="00FF3858">
            <w:pPr>
              <w:pStyle w:val="Tabletext"/>
              <w:rPr>
                <w:rFonts w:eastAsiaTheme="minorEastAsia"/>
                <w:b/>
                <w:bCs/>
                <w:color w:val="000000"/>
                <w:lang w:eastAsia="en-AU"/>
              </w:rPr>
            </w:pPr>
            <w:r w:rsidRPr="00FF3858">
              <w:rPr>
                <w:rFonts w:eastAsiaTheme="minorEastAsia"/>
                <w:b/>
                <w:bCs/>
                <w:color w:val="000000"/>
                <w:lang w:eastAsia="en-AU"/>
              </w:rPr>
              <w:t>Decrease/(increase) in net debt</w:t>
            </w:r>
          </w:p>
        </w:tc>
        <w:tc>
          <w:tcPr>
            <w:tcW w:w="993" w:type="dxa"/>
            <w:tcBorders>
              <w:top w:val="single" w:sz="6" w:space="0" w:color="auto"/>
              <w:left w:val="nil"/>
              <w:bottom w:val="single" w:sz="12" w:space="0" w:color="auto"/>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(9 963.6)</w:t>
            </w:r>
          </w:p>
        </w:tc>
        <w:tc>
          <w:tcPr>
            <w:tcW w:w="993" w:type="dxa"/>
            <w:tcBorders>
              <w:top w:val="single" w:sz="6" w:space="0" w:color="auto"/>
              <w:left w:val="nil"/>
              <w:bottom w:val="single" w:sz="12" w:space="0" w:color="auto"/>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(4 060.8)</w:t>
            </w:r>
          </w:p>
        </w:tc>
        <w:tc>
          <w:tcPr>
            <w:tcW w:w="993" w:type="dxa"/>
            <w:tcBorders>
              <w:top w:val="single" w:sz="6" w:space="0" w:color="auto"/>
              <w:left w:val="nil"/>
              <w:bottom w:val="single" w:sz="12" w:space="0" w:color="auto"/>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(2 785.7)</w:t>
            </w:r>
          </w:p>
        </w:tc>
        <w:tc>
          <w:tcPr>
            <w:tcW w:w="993" w:type="dxa"/>
            <w:tcBorders>
              <w:top w:val="single" w:sz="6" w:space="0" w:color="auto"/>
              <w:left w:val="nil"/>
              <w:bottom w:val="single" w:sz="12" w:space="0" w:color="auto"/>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 xml:space="preserve"> 183.8</w:t>
            </w:r>
          </w:p>
        </w:tc>
        <w:tc>
          <w:tcPr>
            <w:tcW w:w="993" w:type="dxa"/>
            <w:tcBorders>
              <w:top w:val="single" w:sz="6" w:space="0" w:color="auto"/>
              <w:left w:val="nil"/>
              <w:bottom w:val="single" w:sz="12" w:space="0" w:color="auto"/>
              <w:right w:val="nil"/>
            </w:tcBorders>
          </w:tcPr>
          <w:p w:rsidR="00F60B5F" w:rsidRPr="00FF3858" w:rsidRDefault="00F60B5F" w:rsidP="00FF3858">
            <w:pPr>
              <w:pStyle w:val="TableofFigures"/>
              <w:rPr>
                <w:rFonts w:eastAsiaTheme="minorEastAsia"/>
                <w:b/>
                <w:bCs/>
                <w:color w:val="000000"/>
                <w:lang w:eastAsia="en-AU"/>
              </w:rPr>
            </w:pPr>
            <w:r w:rsidRPr="00FF3858">
              <w:rPr>
                <w:rFonts w:eastAsiaTheme="minorEastAsia"/>
                <w:b/>
                <w:bCs/>
                <w:color w:val="000000"/>
                <w:lang w:eastAsia="en-AU"/>
              </w:rPr>
              <w:t xml:space="preserve"> 767.8</w:t>
            </w:r>
          </w:p>
        </w:tc>
      </w:tr>
    </w:tbl>
    <w:p w:rsidR="00F60B5F" w:rsidRDefault="00F60B5F" w:rsidP="0061342B">
      <w:pPr>
        <w:pStyle w:val="Source"/>
      </w:pPr>
      <w:r>
        <w:t>Source: Department of Treasury and Finance</w:t>
      </w:r>
    </w:p>
    <w:p w:rsidR="00F60B5F" w:rsidRDefault="00F60B5F" w:rsidP="0061342B">
      <w:pPr>
        <w:pStyle w:val="Notes"/>
      </w:pPr>
      <w:r>
        <w:t>Notes:</w:t>
      </w:r>
    </w:p>
    <w:p w:rsidR="00F60B5F" w:rsidRDefault="00F60B5F" w:rsidP="0061342B">
      <w:pPr>
        <w:pStyle w:val="Notes"/>
      </w:pPr>
      <w:r>
        <w:t>(a)</w:t>
      </w:r>
      <w:r>
        <w:tab/>
        <w:t>Includes depreciation, movements in the unfunded superannuation liability and liability for employee benefits.</w:t>
      </w:r>
    </w:p>
    <w:p w:rsidR="00F60B5F" w:rsidRDefault="00F60B5F" w:rsidP="0061342B">
      <w:pPr>
        <w:pStyle w:val="Notes"/>
      </w:pPr>
      <w:r>
        <w:t>(b)</w:t>
      </w:r>
      <w:r>
        <w:tab/>
      </w:r>
      <w:r w:rsidRPr="00143C53">
        <w:t>Amount available to be allocated to specific departments and projects in future budgets including capital contributions to other sectors.</w:t>
      </w:r>
    </w:p>
    <w:p w:rsidR="00F60B5F" w:rsidRDefault="00F60B5F" w:rsidP="0061342B">
      <w:pPr>
        <w:pStyle w:val="Notes"/>
      </w:pPr>
      <w:r>
        <w:t xml:space="preserve">(c) </w:t>
      </w:r>
      <w:r>
        <w:tab/>
        <w:t>The finance lease in 2012</w:t>
      </w:r>
      <w:r>
        <w:noBreakHyphen/>
        <w:t>13 relates to the Biosciences Research Centre, Peninsula Link and the Victorian desalination plant projects. The 2013</w:t>
      </w:r>
      <w:r>
        <w:noBreakHyphen/>
      </w:r>
      <w:r w:rsidRPr="003F0A3D">
        <w:t xml:space="preserve">14 revised estimate figure relates to the metropolitan Melbourne buses contract </w:t>
      </w:r>
      <w:r>
        <w:t>The 2015</w:t>
      </w:r>
      <w:r>
        <w:noBreakHyphen/>
        <w:t>16 estimate relates to Victorian Comprehensive Cancer Centre and the 2016</w:t>
      </w:r>
      <w:r>
        <w:noBreakHyphen/>
      </w:r>
      <w:r w:rsidRPr="003F0A3D">
        <w:t>17 figure relates to the Bendigo Hospital redevelopment project</w:t>
      </w:r>
      <w:r>
        <w:t>.</w:t>
      </w:r>
    </w:p>
    <w:p w:rsidR="00F60B5F" w:rsidRDefault="00F60B5F" w:rsidP="00E82143"/>
    <w:p w:rsidR="00F60B5F" w:rsidRPr="00FC2E66" w:rsidRDefault="00F60B5F" w:rsidP="00E82143">
      <w:r>
        <w:t>The NFP sector is projected to invest a total of $25.5 billion in infrastructure over the budget and forward estimates of which 47 per cent will be delivered by the PNFC sector.</w:t>
      </w:r>
      <w:r w:rsidRPr="00FC2E66">
        <w:t xml:space="preserve"> The key PNFC sector infrastructure projects under development include: </w:t>
      </w:r>
    </w:p>
    <w:p w:rsidR="00F60B5F" w:rsidRPr="00FC2E66" w:rsidRDefault="00F60B5F" w:rsidP="00E82143">
      <w:pPr>
        <w:pStyle w:val="BulletText"/>
      </w:pPr>
      <w:r w:rsidRPr="00FC2E66">
        <w:t>the Regional Rail Link project delivering dedicated regional tracks from West Werribee to Southern Cross Station, two new dedicated regional service platforms at Southern Cross Station, new stations at Wyndham Vale, Tarneit and West Footscray, substantial modifications to Sunshine and Footscray stations, and several new rail bridges;</w:t>
      </w:r>
    </w:p>
    <w:p w:rsidR="00F60B5F" w:rsidRPr="00FC2E66" w:rsidRDefault="00F60B5F" w:rsidP="00E82143">
      <w:pPr>
        <w:pStyle w:val="BulletText"/>
      </w:pPr>
      <w:r w:rsidRPr="00FC2E66">
        <w:t xml:space="preserve">the Port Capacity project, which includes </w:t>
      </w:r>
      <w:r>
        <w:t>developing</w:t>
      </w:r>
      <w:r w:rsidRPr="00FC2E66">
        <w:t xml:space="preserve"> a third container terminal and a purpose built automotive facility at Webb Dock. This will ensure that Victoria’s port handling capacity continues to grow; and</w:t>
      </w:r>
    </w:p>
    <w:p w:rsidR="00F60B5F" w:rsidRDefault="00F60B5F" w:rsidP="005A4C85">
      <w:pPr>
        <w:pStyle w:val="BulletText"/>
        <w:rPr>
          <w:b/>
        </w:rPr>
      </w:pPr>
      <w:r w:rsidRPr="00FC2E66">
        <w:t>other transport infrastructure</w:t>
      </w:r>
      <w:r w:rsidRPr="005A4C85">
        <w:t xml:space="preserve">, including significant investment in new trains (metropolitan and regional) and trams to help meet patronage growth and improve network performance. </w:t>
      </w:r>
    </w:p>
    <w:p w:rsidR="00F60B5F" w:rsidRDefault="00F60B5F" w:rsidP="00C116CA">
      <w:pPr>
        <w:pStyle w:val="Heading2"/>
      </w:pPr>
      <w:r w:rsidRPr="00C116CA">
        <w:t>Financial sustainability of the Victorian Government</w:t>
      </w:r>
    </w:p>
    <w:p w:rsidR="00F60B5F" w:rsidRDefault="00F60B5F" w:rsidP="000B5BA5">
      <w:r w:rsidRPr="00FC2E66">
        <w:t>The State remains on track to fully fund its infrastructure spending requirements by operational cash flow surpluses, rather than debt by 2015</w:t>
      </w:r>
      <w:r>
        <w:noBreakHyphen/>
      </w:r>
      <w:r w:rsidRPr="00FC2E66">
        <w:t xml:space="preserve">16. As a result, the State projects net debt </w:t>
      </w:r>
      <w:r>
        <w:t>to</w:t>
      </w:r>
      <w:r w:rsidRPr="00FC2E66">
        <w:t xml:space="preserve"> decline</w:t>
      </w:r>
      <w:r>
        <w:t xml:space="preserve"> both in nominal terms and</w:t>
      </w:r>
      <w:r w:rsidRPr="00FC2E66">
        <w:t xml:space="preserve"> as a percentage of GSP from 2015</w:t>
      </w:r>
      <w:r>
        <w:noBreakHyphen/>
      </w:r>
      <w:r w:rsidRPr="00FC2E66">
        <w:t>16.</w:t>
      </w:r>
    </w:p>
    <w:p w:rsidR="00F60B5F" w:rsidRDefault="00F60B5F" w:rsidP="00DB5EB8">
      <w:pPr>
        <w:pStyle w:val="Tableheading"/>
      </w:pPr>
      <w:r w:rsidRPr="00C116CA">
        <w:t xml:space="preserve">Table 3.8: </w:t>
      </w:r>
      <w:r>
        <w:tab/>
      </w:r>
      <w:r w:rsidRPr="00C116CA">
        <w:t>Non</w:t>
      </w:r>
      <w:r>
        <w:noBreakHyphen/>
      </w:r>
      <w:r w:rsidRPr="00C116CA">
        <w:t>financial public sector net debt and net financial liabilities</w:t>
      </w:r>
    </w:p>
    <w:p w:rsidR="00F60B5F" w:rsidRPr="007F0146" w:rsidRDefault="00F60B5F" w:rsidP="007F0146">
      <w:pPr>
        <w:pStyle w:val="million"/>
        <w:rPr>
          <w:rFonts w:ascii="Times New Roman" w:hAnsi="Times New Roman"/>
          <w:b/>
          <w:sz w:val="20"/>
          <w:lang w:eastAsia="en-AU"/>
        </w:rPr>
      </w:pPr>
      <w:r>
        <w:t>($ billion)</w:t>
      </w:r>
    </w:p>
    <w:tbl>
      <w:tblPr>
        <w:tblW w:w="7760" w:type="dxa"/>
        <w:tblInd w:w="28" w:type="dxa"/>
        <w:tblLayout w:type="fixed"/>
        <w:tblCellMar>
          <w:left w:w="43" w:type="dxa"/>
          <w:right w:w="43" w:type="dxa"/>
        </w:tblCellMar>
        <w:tblLook w:val="0000" w:firstRow="0" w:lastRow="0" w:firstColumn="0" w:lastColumn="0" w:noHBand="0" w:noVBand="0"/>
      </w:tblPr>
      <w:tblGrid>
        <w:gridCol w:w="3165"/>
        <w:gridCol w:w="847"/>
        <w:gridCol w:w="937"/>
        <w:gridCol w:w="937"/>
        <w:gridCol w:w="937"/>
        <w:gridCol w:w="937"/>
      </w:tblGrid>
      <w:tr w:rsidR="00F60B5F" w:rsidRPr="00EB331D" w:rsidTr="00EB331D">
        <w:trPr>
          <w:cantSplit/>
          <w:tblHeader/>
        </w:trPr>
        <w:tc>
          <w:tcPr>
            <w:tcW w:w="3165" w:type="dxa"/>
            <w:tcBorders>
              <w:top w:val="single" w:sz="6" w:space="0" w:color="000000"/>
              <w:left w:val="single" w:sz="6" w:space="0" w:color="000000"/>
              <w:bottom w:val="nil"/>
              <w:right w:val="nil"/>
            </w:tcBorders>
            <w:shd w:val="clear" w:color="auto" w:fill="000000"/>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 </w:t>
            </w:r>
          </w:p>
        </w:tc>
        <w:tc>
          <w:tcPr>
            <w:tcW w:w="847" w:type="dxa"/>
            <w:tcBorders>
              <w:top w:val="single" w:sz="6" w:space="0" w:color="000000"/>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2012</w:t>
            </w:r>
            <w:r>
              <w:rPr>
                <w:rFonts w:eastAsiaTheme="minorEastAsia"/>
                <w:color w:val="FFFFFF"/>
                <w:lang w:eastAsia="en-AU"/>
              </w:rPr>
              <w:noBreakHyphen/>
            </w:r>
            <w:r w:rsidRPr="00EB331D">
              <w:rPr>
                <w:rFonts w:eastAsiaTheme="minorEastAsia"/>
                <w:color w:val="FFFFFF"/>
                <w:lang w:eastAsia="en-AU"/>
              </w:rPr>
              <w:t>13</w:t>
            </w:r>
          </w:p>
        </w:tc>
        <w:tc>
          <w:tcPr>
            <w:tcW w:w="937" w:type="dxa"/>
            <w:tcBorders>
              <w:top w:val="single" w:sz="6" w:space="0" w:color="000000"/>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2013</w:t>
            </w:r>
            <w:r>
              <w:rPr>
                <w:rFonts w:eastAsiaTheme="minorEastAsia"/>
                <w:color w:val="FFFFFF"/>
                <w:lang w:eastAsia="en-AU"/>
              </w:rPr>
              <w:noBreakHyphen/>
            </w:r>
            <w:r w:rsidRPr="00EB331D">
              <w:rPr>
                <w:rFonts w:eastAsiaTheme="minorEastAsia"/>
                <w:color w:val="FFFFFF"/>
                <w:lang w:eastAsia="en-AU"/>
              </w:rPr>
              <w:t>14</w:t>
            </w:r>
          </w:p>
        </w:tc>
        <w:tc>
          <w:tcPr>
            <w:tcW w:w="937" w:type="dxa"/>
            <w:tcBorders>
              <w:top w:val="single" w:sz="6" w:space="0" w:color="000000"/>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2014</w:t>
            </w:r>
            <w:r>
              <w:rPr>
                <w:rFonts w:eastAsiaTheme="minorEastAsia"/>
                <w:color w:val="FFFFFF"/>
                <w:lang w:eastAsia="en-AU"/>
              </w:rPr>
              <w:noBreakHyphen/>
            </w:r>
            <w:r w:rsidRPr="00EB331D">
              <w:rPr>
                <w:rFonts w:eastAsiaTheme="minorEastAsia"/>
                <w:color w:val="FFFFFF"/>
                <w:lang w:eastAsia="en-AU"/>
              </w:rPr>
              <w:t>15</w:t>
            </w:r>
          </w:p>
        </w:tc>
        <w:tc>
          <w:tcPr>
            <w:tcW w:w="937" w:type="dxa"/>
            <w:tcBorders>
              <w:top w:val="single" w:sz="6" w:space="0" w:color="000000"/>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2015</w:t>
            </w:r>
            <w:r>
              <w:rPr>
                <w:rFonts w:eastAsiaTheme="minorEastAsia"/>
                <w:color w:val="FFFFFF"/>
                <w:lang w:eastAsia="en-AU"/>
              </w:rPr>
              <w:noBreakHyphen/>
            </w:r>
            <w:r w:rsidRPr="00EB331D">
              <w:rPr>
                <w:rFonts w:eastAsiaTheme="minorEastAsia"/>
                <w:color w:val="FFFFFF"/>
                <w:lang w:eastAsia="en-AU"/>
              </w:rPr>
              <w:t>16</w:t>
            </w:r>
          </w:p>
        </w:tc>
        <w:tc>
          <w:tcPr>
            <w:tcW w:w="937" w:type="dxa"/>
            <w:tcBorders>
              <w:top w:val="single" w:sz="6" w:space="0" w:color="000000"/>
              <w:left w:val="nil"/>
              <w:bottom w:val="nil"/>
              <w:right w:val="single" w:sz="6" w:space="0" w:color="000000"/>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2016</w:t>
            </w:r>
            <w:r>
              <w:rPr>
                <w:rFonts w:eastAsiaTheme="minorEastAsia"/>
                <w:color w:val="FFFFFF"/>
                <w:lang w:eastAsia="en-AU"/>
              </w:rPr>
              <w:noBreakHyphen/>
            </w:r>
            <w:r w:rsidRPr="00EB331D">
              <w:rPr>
                <w:rFonts w:eastAsiaTheme="minorEastAsia"/>
                <w:color w:val="FFFFFF"/>
                <w:lang w:eastAsia="en-AU"/>
              </w:rPr>
              <w:t>17</w:t>
            </w:r>
          </w:p>
        </w:tc>
      </w:tr>
      <w:tr w:rsidR="00F60B5F" w:rsidRPr="00EB331D" w:rsidTr="00EB331D">
        <w:trPr>
          <w:cantSplit/>
          <w:tblHeader/>
        </w:trPr>
        <w:tc>
          <w:tcPr>
            <w:tcW w:w="3165" w:type="dxa"/>
            <w:tcBorders>
              <w:top w:val="nil"/>
              <w:left w:val="single" w:sz="6" w:space="0" w:color="000000"/>
              <w:bottom w:val="single" w:sz="6" w:space="0" w:color="000000"/>
              <w:right w:val="nil"/>
            </w:tcBorders>
            <w:shd w:val="clear" w:color="auto" w:fill="000000"/>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 </w:t>
            </w:r>
          </w:p>
        </w:tc>
        <w:tc>
          <w:tcPr>
            <w:tcW w:w="847" w:type="dxa"/>
            <w:tcBorders>
              <w:top w:val="nil"/>
              <w:left w:val="nil"/>
              <w:bottom w:val="single" w:sz="6" w:space="0" w:color="000000"/>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Actual</w:t>
            </w:r>
          </w:p>
        </w:tc>
        <w:tc>
          <w:tcPr>
            <w:tcW w:w="937" w:type="dxa"/>
            <w:tcBorders>
              <w:top w:val="nil"/>
              <w:left w:val="nil"/>
              <w:bottom w:val="single" w:sz="6" w:space="0" w:color="000000"/>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Revised</w:t>
            </w:r>
          </w:p>
        </w:tc>
        <w:tc>
          <w:tcPr>
            <w:tcW w:w="937" w:type="dxa"/>
            <w:tcBorders>
              <w:top w:val="nil"/>
              <w:left w:val="nil"/>
              <w:bottom w:val="single" w:sz="6" w:space="0" w:color="000000"/>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c>
          <w:tcPr>
            <w:tcW w:w="937" w:type="dxa"/>
            <w:tcBorders>
              <w:top w:val="nil"/>
              <w:left w:val="nil"/>
              <w:bottom w:val="single" w:sz="6" w:space="0" w:color="000000"/>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c>
          <w:tcPr>
            <w:tcW w:w="937" w:type="dxa"/>
            <w:tcBorders>
              <w:top w:val="nil"/>
              <w:left w:val="nil"/>
              <w:bottom w:val="single" w:sz="6" w:space="0" w:color="000000"/>
              <w:right w:val="single" w:sz="6" w:space="0" w:color="000000"/>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r>
      <w:tr w:rsidR="00F60B5F" w:rsidRPr="00EB331D" w:rsidTr="00EB331D">
        <w:trPr>
          <w:cantSplit/>
        </w:trPr>
        <w:tc>
          <w:tcPr>
            <w:tcW w:w="3165" w:type="dxa"/>
            <w:tcBorders>
              <w:top w:val="single" w:sz="6" w:space="0" w:color="000000"/>
              <w:left w:val="nil"/>
              <w:bottom w:val="nil"/>
              <w:right w:val="nil"/>
            </w:tcBorders>
          </w:tcPr>
          <w:p w:rsidR="00F60B5F" w:rsidRPr="00EB331D" w:rsidRDefault="00F60B5F" w:rsidP="00EB331D">
            <w:pPr>
              <w:pStyle w:val="Tabletext"/>
              <w:rPr>
                <w:rFonts w:eastAsiaTheme="minorEastAsia"/>
                <w:b/>
                <w:bCs/>
                <w:szCs w:val="22"/>
                <w:lang w:eastAsia="en-AU"/>
              </w:rPr>
            </w:pPr>
            <w:r w:rsidRPr="00EB331D">
              <w:rPr>
                <w:rFonts w:eastAsiaTheme="minorEastAsia"/>
                <w:b/>
                <w:bCs/>
                <w:szCs w:val="22"/>
                <w:lang w:eastAsia="en-AU"/>
              </w:rPr>
              <w:t>Assets</w:t>
            </w:r>
          </w:p>
        </w:tc>
        <w:tc>
          <w:tcPr>
            <w:tcW w:w="847"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single" w:sz="6" w:space="0" w:color="000000"/>
              <w:left w:val="nil"/>
              <w:bottom w:val="nil"/>
              <w:right w:val="nil"/>
            </w:tcBorders>
          </w:tcPr>
          <w:p w:rsidR="00F60B5F" w:rsidRPr="00EB331D" w:rsidRDefault="00F60B5F" w:rsidP="00EB331D">
            <w:pPr>
              <w:pStyle w:val="TableofFigures"/>
              <w:rPr>
                <w:rFonts w:eastAsiaTheme="minorEastAsia"/>
                <w:b/>
                <w:lang w:eastAsia="en-AU"/>
              </w:rPr>
            </w:pPr>
          </w:p>
        </w:tc>
      </w:tr>
      <w:tr w:rsidR="00F60B5F" w:rsidRPr="00EB331D" w:rsidTr="00EB331D">
        <w:trPr>
          <w:cantSplit/>
        </w:trPr>
        <w:tc>
          <w:tcPr>
            <w:tcW w:w="3165" w:type="dxa"/>
            <w:tcBorders>
              <w:top w:val="nil"/>
              <w:left w:val="nil"/>
              <w:bottom w:val="nil"/>
              <w:right w:val="nil"/>
            </w:tcBorders>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Cash and deposits</w:t>
            </w:r>
          </w:p>
        </w:tc>
        <w:tc>
          <w:tcPr>
            <w:tcW w:w="84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4.8</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4.6</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4.9</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5.3</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5.8</w:t>
            </w:r>
          </w:p>
        </w:tc>
      </w:tr>
      <w:tr w:rsidR="00F60B5F" w:rsidRPr="00EB331D" w:rsidTr="00EB331D">
        <w:trPr>
          <w:cantSplit/>
        </w:trPr>
        <w:tc>
          <w:tcPr>
            <w:tcW w:w="3165" w:type="dxa"/>
            <w:tcBorders>
              <w:top w:val="nil"/>
              <w:left w:val="nil"/>
              <w:bottom w:val="nil"/>
              <w:right w:val="nil"/>
            </w:tcBorders>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Advances paid</w:t>
            </w:r>
          </w:p>
        </w:tc>
        <w:tc>
          <w:tcPr>
            <w:tcW w:w="84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0.1</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0.1</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0.1</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0.1</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0.1</w:t>
            </w:r>
          </w:p>
        </w:tc>
      </w:tr>
      <w:tr w:rsidR="00F60B5F" w:rsidRPr="00EB331D" w:rsidTr="00EB331D">
        <w:trPr>
          <w:cantSplit/>
        </w:trPr>
        <w:tc>
          <w:tcPr>
            <w:tcW w:w="3165" w:type="dxa"/>
            <w:tcBorders>
              <w:top w:val="nil"/>
              <w:left w:val="nil"/>
              <w:bottom w:val="nil"/>
              <w:right w:val="nil"/>
            </w:tcBorders>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Investments, loans and placements</w:t>
            </w:r>
          </w:p>
        </w:tc>
        <w:tc>
          <w:tcPr>
            <w:tcW w:w="84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4.4</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4.3</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4.3</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4.4</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4.5</w:t>
            </w:r>
          </w:p>
        </w:tc>
      </w:tr>
      <w:tr w:rsidR="00F60B5F" w:rsidRPr="00EB331D" w:rsidTr="00EB331D">
        <w:trPr>
          <w:cantSplit/>
        </w:trPr>
        <w:tc>
          <w:tcPr>
            <w:tcW w:w="3165" w:type="dxa"/>
            <w:tcBorders>
              <w:top w:val="single" w:sz="6" w:space="0" w:color="auto"/>
              <w:left w:val="nil"/>
              <w:bottom w:val="nil"/>
              <w:right w:val="nil"/>
            </w:tcBorders>
          </w:tcPr>
          <w:p w:rsidR="00F60B5F" w:rsidRPr="00EB331D" w:rsidRDefault="00F60B5F" w:rsidP="00EB331D">
            <w:pPr>
              <w:pStyle w:val="Tabletext"/>
              <w:rPr>
                <w:rFonts w:eastAsiaTheme="minorEastAsia"/>
                <w:b/>
                <w:bCs/>
                <w:szCs w:val="22"/>
                <w:lang w:eastAsia="en-AU"/>
              </w:rPr>
            </w:pPr>
            <w:r w:rsidRPr="00EB331D">
              <w:rPr>
                <w:rFonts w:eastAsiaTheme="minorEastAsia"/>
                <w:b/>
                <w:bCs/>
                <w:szCs w:val="22"/>
                <w:lang w:eastAsia="en-AU"/>
              </w:rPr>
              <w:t xml:space="preserve">Total </w:t>
            </w:r>
          </w:p>
        </w:tc>
        <w:tc>
          <w:tcPr>
            <w:tcW w:w="84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9.3</w:t>
            </w:r>
          </w:p>
        </w:tc>
        <w:tc>
          <w:tcPr>
            <w:tcW w:w="93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9.0</w:t>
            </w:r>
          </w:p>
        </w:tc>
        <w:tc>
          <w:tcPr>
            <w:tcW w:w="93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9.3</w:t>
            </w:r>
          </w:p>
        </w:tc>
        <w:tc>
          <w:tcPr>
            <w:tcW w:w="93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9.8</w:t>
            </w:r>
          </w:p>
        </w:tc>
        <w:tc>
          <w:tcPr>
            <w:tcW w:w="93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10.4</w:t>
            </w:r>
          </w:p>
        </w:tc>
      </w:tr>
      <w:tr w:rsidR="00F60B5F" w:rsidRPr="00EB331D" w:rsidTr="00EB331D">
        <w:trPr>
          <w:cantSplit/>
        </w:trPr>
        <w:tc>
          <w:tcPr>
            <w:tcW w:w="3165" w:type="dxa"/>
            <w:tcBorders>
              <w:top w:val="nil"/>
              <w:left w:val="nil"/>
              <w:bottom w:val="nil"/>
              <w:right w:val="nil"/>
            </w:tcBorders>
          </w:tcPr>
          <w:p w:rsidR="00F60B5F" w:rsidRPr="00EB331D" w:rsidRDefault="00F60B5F" w:rsidP="00EB331D">
            <w:pPr>
              <w:pStyle w:val="Tabletext"/>
              <w:rPr>
                <w:rFonts w:eastAsiaTheme="minorEastAsia"/>
                <w:b/>
                <w:bCs/>
                <w:szCs w:val="22"/>
                <w:lang w:eastAsia="en-AU"/>
              </w:rPr>
            </w:pPr>
            <w:r w:rsidRPr="00EB331D">
              <w:rPr>
                <w:rFonts w:eastAsiaTheme="minorEastAsia"/>
                <w:b/>
                <w:bCs/>
                <w:szCs w:val="22"/>
                <w:lang w:eastAsia="en-AU"/>
              </w:rPr>
              <w:t>Liabilities</w:t>
            </w:r>
          </w:p>
        </w:tc>
        <w:tc>
          <w:tcPr>
            <w:tcW w:w="84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r>
      <w:tr w:rsidR="00F60B5F" w:rsidRPr="00EB331D" w:rsidTr="00EB331D">
        <w:trPr>
          <w:cantSplit/>
        </w:trPr>
        <w:tc>
          <w:tcPr>
            <w:tcW w:w="3165" w:type="dxa"/>
            <w:tcBorders>
              <w:top w:val="nil"/>
              <w:left w:val="nil"/>
              <w:bottom w:val="nil"/>
              <w:right w:val="nil"/>
            </w:tcBorders>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Deposits held and advances received</w:t>
            </w:r>
          </w:p>
        </w:tc>
        <w:tc>
          <w:tcPr>
            <w:tcW w:w="84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0.6</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0.6</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0.6</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0.6</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0.6</w:t>
            </w:r>
          </w:p>
        </w:tc>
      </w:tr>
      <w:tr w:rsidR="00F60B5F" w:rsidRPr="00EB331D" w:rsidTr="00EB331D">
        <w:trPr>
          <w:cantSplit/>
        </w:trPr>
        <w:tc>
          <w:tcPr>
            <w:tcW w:w="3165" w:type="dxa"/>
            <w:tcBorders>
              <w:top w:val="nil"/>
              <w:left w:val="nil"/>
              <w:bottom w:val="nil"/>
              <w:right w:val="nil"/>
            </w:tcBorders>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Borrowings</w:t>
            </w:r>
          </w:p>
        </w:tc>
        <w:tc>
          <w:tcPr>
            <w:tcW w:w="84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43.3</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47.1</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50.2</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50.5</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50.3</w:t>
            </w:r>
          </w:p>
        </w:tc>
      </w:tr>
      <w:tr w:rsidR="00F60B5F" w:rsidRPr="00EB331D" w:rsidTr="00EB331D">
        <w:trPr>
          <w:cantSplit/>
        </w:trPr>
        <w:tc>
          <w:tcPr>
            <w:tcW w:w="3165" w:type="dxa"/>
            <w:tcBorders>
              <w:top w:val="single" w:sz="6" w:space="0" w:color="auto"/>
              <w:left w:val="nil"/>
              <w:bottom w:val="nil"/>
              <w:right w:val="nil"/>
            </w:tcBorders>
          </w:tcPr>
          <w:p w:rsidR="00F60B5F" w:rsidRPr="00EB331D" w:rsidRDefault="00F60B5F" w:rsidP="00EB331D">
            <w:pPr>
              <w:pStyle w:val="Tabletext"/>
              <w:rPr>
                <w:rFonts w:eastAsiaTheme="minorEastAsia"/>
                <w:b/>
                <w:bCs/>
                <w:szCs w:val="22"/>
                <w:lang w:eastAsia="en-AU"/>
              </w:rPr>
            </w:pPr>
            <w:r w:rsidRPr="00EB331D">
              <w:rPr>
                <w:rFonts w:eastAsiaTheme="minorEastAsia"/>
                <w:b/>
                <w:bCs/>
                <w:szCs w:val="22"/>
                <w:lang w:eastAsia="en-AU"/>
              </w:rPr>
              <w:t>Total</w:t>
            </w:r>
          </w:p>
        </w:tc>
        <w:tc>
          <w:tcPr>
            <w:tcW w:w="84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43.9</w:t>
            </w:r>
          </w:p>
        </w:tc>
        <w:tc>
          <w:tcPr>
            <w:tcW w:w="93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47.6</w:t>
            </w:r>
          </w:p>
        </w:tc>
        <w:tc>
          <w:tcPr>
            <w:tcW w:w="93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50.8</w:t>
            </w:r>
          </w:p>
        </w:tc>
        <w:tc>
          <w:tcPr>
            <w:tcW w:w="93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51.0</w:t>
            </w:r>
          </w:p>
        </w:tc>
        <w:tc>
          <w:tcPr>
            <w:tcW w:w="93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50.8</w:t>
            </w:r>
          </w:p>
        </w:tc>
      </w:tr>
      <w:tr w:rsidR="00F60B5F" w:rsidRPr="00EB331D" w:rsidTr="00EB331D">
        <w:trPr>
          <w:cantSplit/>
        </w:trPr>
        <w:tc>
          <w:tcPr>
            <w:tcW w:w="3165" w:type="dxa"/>
            <w:tcBorders>
              <w:top w:val="single" w:sz="6" w:space="0" w:color="auto"/>
              <w:left w:val="nil"/>
              <w:bottom w:val="nil"/>
              <w:right w:val="nil"/>
            </w:tcBorders>
          </w:tcPr>
          <w:p w:rsidR="00F60B5F" w:rsidRPr="00EB331D" w:rsidRDefault="00F60B5F" w:rsidP="00F5237E">
            <w:pPr>
              <w:pStyle w:val="Tabletext"/>
              <w:spacing w:before="20"/>
              <w:rPr>
                <w:rFonts w:eastAsiaTheme="minorEastAsia" w:cs="Calibri"/>
                <w:b/>
                <w:bCs/>
                <w:szCs w:val="22"/>
                <w:vertAlign w:val="superscript"/>
                <w:lang w:eastAsia="en-AU"/>
              </w:rPr>
            </w:pPr>
            <w:r w:rsidRPr="00EB331D">
              <w:rPr>
                <w:rFonts w:eastAsiaTheme="minorEastAsia"/>
                <w:b/>
                <w:bCs/>
                <w:szCs w:val="22"/>
                <w:lang w:eastAsia="en-AU"/>
              </w:rPr>
              <w:t>Net debt</w:t>
            </w:r>
            <w:r w:rsidR="00F5237E">
              <w:rPr>
                <w:rFonts w:eastAsiaTheme="minorEastAsia"/>
                <w:b/>
                <w:bCs/>
                <w:szCs w:val="22"/>
                <w:lang w:eastAsia="en-AU"/>
              </w:rPr>
              <w:t xml:space="preserve"> </w:t>
            </w:r>
            <w:r w:rsidRPr="00EB331D">
              <w:rPr>
                <w:rFonts w:eastAsiaTheme="minorEastAsia"/>
                <w:b/>
                <w:bCs/>
                <w:szCs w:val="22"/>
                <w:vertAlign w:val="superscript"/>
                <w:lang w:eastAsia="en-AU"/>
              </w:rPr>
              <w:t>(</w:t>
            </w:r>
            <w:r w:rsidRPr="00EB331D">
              <w:rPr>
                <w:rFonts w:eastAsiaTheme="minorEastAsia" w:cs="Calibri"/>
                <w:b/>
                <w:bCs/>
                <w:szCs w:val="22"/>
                <w:vertAlign w:val="superscript"/>
                <w:lang w:eastAsia="en-AU"/>
              </w:rPr>
              <w:t>a)</w:t>
            </w:r>
          </w:p>
        </w:tc>
        <w:tc>
          <w:tcPr>
            <w:tcW w:w="847" w:type="dxa"/>
            <w:tcBorders>
              <w:top w:val="nil"/>
              <w:left w:val="nil"/>
              <w:bottom w:val="nil"/>
              <w:right w:val="nil"/>
            </w:tcBorders>
          </w:tcPr>
          <w:p w:rsidR="00F60B5F" w:rsidRPr="00EB331D" w:rsidRDefault="00F60B5F" w:rsidP="00F5237E">
            <w:pPr>
              <w:pStyle w:val="TableofFigures"/>
              <w:spacing w:before="20"/>
              <w:rPr>
                <w:rFonts w:eastAsiaTheme="minorEastAsia"/>
                <w:b/>
                <w:lang w:eastAsia="en-AU"/>
              </w:rPr>
            </w:pPr>
            <w:r w:rsidRPr="00EB331D">
              <w:rPr>
                <w:rFonts w:eastAsiaTheme="minorEastAsia"/>
                <w:b/>
                <w:lang w:eastAsia="en-AU"/>
              </w:rPr>
              <w:t xml:space="preserve"> 34.6</w:t>
            </w:r>
          </w:p>
        </w:tc>
        <w:tc>
          <w:tcPr>
            <w:tcW w:w="937" w:type="dxa"/>
            <w:tcBorders>
              <w:top w:val="nil"/>
              <w:left w:val="nil"/>
              <w:bottom w:val="nil"/>
              <w:right w:val="nil"/>
            </w:tcBorders>
          </w:tcPr>
          <w:p w:rsidR="00F60B5F" w:rsidRPr="00EB331D" w:rsidRDefault="00F60B5F" w:rsidP="00F5237E">
            <w:pPr>
              <w:pStyle w:val="TableofFigures"/>
              <w:spacing w:before="20"/>
              <w:rPr>
                <w:rFonts w:eastAsiaTheme="minorEastAsia"/>
                <w:b/>
                <w:lang w:eastAsia="en-AU"/>
              </w:rPr>
            </w:pPr>
            <w:r w:rsidRPr="00EB331D">
              <w:rPr>
                <w:rFonts w:eastAsiaTheme="minorEastAsia"/>
                <w:b/>
                <w:lang w:eastAsia="en-AU"/>
              </w:rPr>
              <w:t xml:space="preserve"> 38.6</w:t>
            </w:r>
          </w:p>
        </w:tc>
        <w:tc>
          <w:tcPr>
            <w:tcW w:w="937" w:type="dxa"/>
            <w:tcBorders>
              <w:top w:val="nil"/>
              <w:left w:val="nil"/>
              <w:bottom w:val="nil"/>
              <w:right w:val="nil"/>
            </w:tcBorders>
          </w:tcPr>
          <w:p w:rsidR="00F60B5F" w:rsidRPr="00EB331D" w:rsidRDefault="00F60B5F" w:rsidP="00F5237E">
            <w:pPr>
              <w:pStyle w:val="TableofFigures"/>
              <w:spacing w:before="20"/>
              <w:rPr>
                <w:rFonts w:eastAsiaTheme="minorEastAsia"/>
                <w:b/>
                <w:lang w:eastAsia="en-AU"/>
              </w:rPr>
            </w:pPr>
            <w:r w:rsidRPr="00EB331D">
              <w:rPr>
                <w:rFonts w:eastAsiaTheme="minorEastAsia"/>
                <w:b/>
                <w:lang w:eastAsia="en-AU"/>
              </w:rPr>
              <w:t xml:space="preserve"> 41.4</w:t>
            </w:r>
          </w:p>
        </w:tc>
        <w:tc>
          <w:tcPr>
            <w:tcW w:w="937" w:type="dxa"/>
            <w:tcBorders>
              <w:top w:val="nil"/>
              <w:left w:val="nil"/>
              <w:bottom w:val="nil"/>
              <w:right w:val="nil"/>
            </w:tcBorders>
          </w:tcPr>
          <w:p w:rsidR="00F60B5F" w:rsidRPr="00EB331D" w:rsidRDefault="00F60B5F" w:rsidP="00F5237E">
            <w:pPr>
              <w:pStyle w:val="TableofFigures"/>
              <w:spacing w:before="20"/>
              <w:rPr>
                <w:rFonts w:eastAsiaTheme="minorEastAsia"/>
                <w:b/>
                <w:lang w:eastAsia="en-AU"/>
              </w:rPr>
            </w:pPr>
            <w:r w:rsidRPr="00EB331D">
              <w:rPr>
                <w:rFonts w:eastAsiaTheme="minorEastAsia"/>
                <w:b/>
                <w:lang w:eastAsia="en-AU"/>
              </w:rPr>
              <w:t xml:space="preserve"> 41.2</w:t>
            </w:r>
          </w:p>
        </w:tc>
        <w:tc>
          <w:tcPr>
            <w:tcW w:w="937" w:type="dxa"/>
            <w:tcBorders>
              <w:top w:val="nil"/>
              <w:left w:val="nil"/>
              <w:bottom w:val="nil"/>
              <w:right w:val="nil"/>
            </w:tcBorders>
          </w:tcPr>
          <w:p w:rsidR="00F60B5F" w:rsidRPr="00EB331D" w:rsidRDefault="00F60B5F" w:rsidP="00F5237E">
            <w:pPr>
              <w:pStyle w:val="TableofFigures"/>
              <w:spacing w:before="20"/>
              <w:rPr>
                <w:rFonts w:eastAsiaTheme="minorEastAsia"/>
                <w:b/>
                <w:lang w:eastAsia="en-AU"/>
              </w:rPr>
            </w:pPr>
            <w:r w:rsidRPr="00EB331D">
              <w:rPr>
                <w:rFonts w:eastAsiaTheme="minorEastAsia"/>
                <w:b/>
                <w:lang w:eastAsia="en-AU"/>
              </w:rPr>
              <w:t xml:space="preserve"> 40.5</w:t>
            </w:r>
          </w:p>
        </w:tc>
      </w:tr>
      <w:tr w:rsidR="00F60B5F" w:rsidRPr="00EB331D" w:rsidTr="00EB331D">
        <w:trPr>
          <w:cantSplit/>
        </w:trPr>
        <w:tc>
          <w:tcPr>
            <w:tcW w:w="3165" w:type="dxa"/>
            <w:tcBorders>
              <w:top w:val="nil"/>
              <w:left w:val="nil"/>
              <w:bottom w:val="single" w:sz="6" w:space="0" w:color="auto"/>
              <w:right w:val="nil"/>
            </w:tcBorders>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Superannuation</w:t>
            </w:r>
          </w:p>
        </w:tc>
        <w:tc>
          <w:tcPr>
            <w:tcW w:w="84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25.2</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23.7</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23.3</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22.9</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22.3</w:t>
            </w:r>
          </w:p>
        </w:tc>
      </w:tr>
      <w:tr w:rsidR="00F60B5F" w:rsidRPr="00EB331D" w:rsidTr="00EB331D">
        <w:trPr>
          <w:cantSplit/>
        </w:trPr>
        <w:tc>
          <w:tcPr>
            <w:tcW w:w="3165" w:type="dxa"/>
            <w:tcBorders>
              <w:top w:val="single" w:sz="6" w:space="0" w:color="auto"/>
              <w:left w:val="nil"/>
              <w:bottom w:val="nil"/>
              <w:right w:val="nil"/>
            </w:tcBorders>
          </w:tcPr>
          <w:p w:rsidR="00F60B5F" w:rsidRPr="00EB331D" w:rsidRDefault="00F60B5F" w:rsidP="00EB331D">
            <w:pPr>
              <w:pStyle w:val="Tabletext"/>
              <w:rPr>
                <w:rFonts w:eastAsiaTheme="minorEastAsia"/>
                <w:b/>
                <w:bCs/>
                <w:szCs w:val="22"/>
                <w:lang w:eastAsia="en-AU"/>
              </w:rPr>
            </w:pPr>
            <w:r w:rsidRPr="00EB331D">
              <w:rPr>
                <w:rFonts w:eastAsiaTheme="minorEastAsia"/>
                <w:b/>
                <w:bCs/>
                <w:szCs w:val="22"/>
                <w:lang w:eastAsia="en-AU"/>
              </w:rPr>
              <w:t>Net debt plus superannuation liabilities</w:t>
            </w:r>
          </w:p>
        </w:tc>
        <w:tc>
          <w:tcPr>
            <w:tcW w:w="84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59.8</w:t>
            </w:r>
          </w:p>
        </w:tc>
        <w:tc>
          <w:tcPr>
            <w:tcW w:w="93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62.3</w:t>
            </w:r>
          </w:p>
        </w:tc>
        <w:tc>
          <w:tcPr>
            <w:tcW w:w="93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64.7</w:t>
            </w:r>
          </w:p>
        </w:tc>
        <w:tc>
          <w:tcPr>
            <w:tcW w:w="93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64.1</w:t>
            </w:r>
          </w:p>
        </w:tc>
        <w:tc>
          <w:tcPr>
            <w:tcW w:w="937" w:type="dxa"/>
            <w:tcBorders>
              <w:top w:val="single" w:sz="6" w:space="0" w:color="auto"/>
              <w:left w:val="nil"/>
              <w:bottom w:val="nil"/>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62.8</w:t>
            </w:r>
          </w:p>
        </w:tc>
      </w:tr>
      <w:tr w:rsidR="00F60B5F" w:rsidRPr="00EB331D" w:rsidTr="00EB331D">
        <w:trPr>
          <w:cantSplit/>
        </w:trPr>
        <w:tc>
          <w:tcPr>
            <w:tcW w:w="3165" w:type="dxa"/>
            <w:tcBorders>
              <w:top w:val="nil"/>
              <w:left w:val="nil"/>
              <w:bottom w:val="nil"/>
              <w:right w:val="nil"/>
            </w:tcBorders>
          </w:tcPr>
          <w:p w:rsidR="00F60B5F" w:rsidRPr="00EB331D" w:rsidRDefault="00F60B5F" w:rsidP="00EB331D">
            <w:pPr>
              <w:pStyle w:val="Tabletext"/>
              <w:rPr>
                <w:rFonts w:eastAsiaTheme="minorEastAsia"/>
                <w:szCs w:val="22"/>
                <w:vertAlign w:val="superscript"/>
                <w:lang w:eastAsia="en-AU"/>
              </w:rPr>
            </w:pPr>
            <w:r w:rsidRPr="00EB331D">
              <w:rPr>
                <w:rFonts w:eastAsiaTheme="minorEastAsia"/>
                <w:szCs w:val="22"/>
                <w:lang w:eastAsia="en-AU"/>
              </w:rPr>
              <w:t xml:space="preserve">Other liabilities (net) </w:t>
            </w:r>
            <w:r w:rsidRPr="00EB331D">
              <w:rPr>
                <w:rFonts w:eastAsiaTheme="minorEastAsia"/>
                <w:szCs w:val="22"/>
                <w:vertAlign w:val="superscript"/>
                <w:lang w:eastAsia="en-AU"/>
              </w:rPr>
              <w:t>(b)</w:t>
            </w:r>
          </w:p>
        </w:tc>
        <w:tc>
          <w:tcPr>
            <w:tcW w:w="84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6.6</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6.4</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6.2</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6.3</w:t>
            </w:r>
          </w:p>
        </w:tc>
        <w:tc>
          <w:tcPr>
            <w:tcW w:w="937" w:type="dxa"/>
            <w:tcBorders>
              <w:top w:val="nil"/>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6.3</w:t>
            </w:r>
          </w:p>
        </w:tc>
      </w:tr>
      <w:tr w:rsidR="00F60B5F" w:rsidRPr="00EB331D" w:rsidTr="00EB331D">
        <w:trPr>
          <w:cantSplit/>
        </w:trPr>
        <w:tc>
          <w:tcPr>
            <w:tcW w:w="3165" w:type="dxa"/>
            <w:tcBorders>
              <w:top w:val="single" w:sz="6" w:space="0" w:color="auto"/>
              <w:left w:val="nil"/>
              <w:bottom w:val="single" w:sz="12" w:space="0" w:color="auto"/>
              <w:right w:val="nil"/>
            </w:tcBorders>
          </w:tcPr>
          <w:p w:rsidR="00F60B5F" w:rsidRPr="00EB331D" w:rsidRDefault="00F60B5F" w:rsidP="00EB331D">
            <w:pPr>
              <w:pStyle w:val="Tabletext"/>
              <w:rPr>
                <w:rFonts w:eastAsiaTheme="minorEastAsia" w:cs="Calibri"/>
                <w:b/>
                <w:bCs/>
                <w:szCs w:val="22"/>
                <w:vertAlign w:val="superscript"/>
                <w:lang w:eastAsia="en-AU"/>
              </w:rPr>
            </w:pPr>
            <w:r w:rsidRPr="00EB331D">
              <w:rPr>
                <w:rFonts w:eastAsiaTheme="minorEastAsia"/>
                <w:b/>
                <w:bCs/>
                <w:szCs w:val="22"/>
                <w:lang w:eastAsia="en-AU"/>
              </w:rPr>
              <w:t>Net financial liabilities</w:t>
            </w:r>
            <w:r w:rsidRPr="00EB331D">
              <w:rPr>
                <w:rFonts w:eastAsiaTheme="minorEastAsia"/>
                <w:b/>
                <w:bCs/>
                <w:szCs w:val="22"/>
                <w:vertAlign w:val="superscript"/>
                <w:lang w:eastAsia="en-AU"/>
              </w:rPr>
              <w:t>(</w:t>
            </w:r>
            <w:r w:rsidRPr="00EB331D">
              <w:rPr>
                <w:rFonts w:eastAsiaTheme="minorEastAsia" w:cs="Calibri"/>
                <w:b/>
                <w:bCs/>
                <w:szCs w:val="22"/>
                <w:vertAlign w:val="superscript"/>
                <w:lang w:eastAsia="en-AU"/>
              </w:rPr>
              <w:t>c)</w:t>
            </w:r>
          </w:p>
        </w:tc>
        <w:tc>
          <w:tcPr>
            <w:tcW w:w="847" w:type="dxa"/>
            <w:tcBorders>
              <w:top w:val="single" w:sz="6" w:space="0" w:color="auto"/>
              <w:left w:val="nil"/>
              <w:bottom w:val="single" w:sz="12"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66.4</w:t>
            </w:r>
          </w:p>
        </w:tc>
        <w:tc>
          <w:tcPr>
            <w:tcW w:w="937" w:type="dxa"/>
            <w:tcBorders>
              <w:top w:val="single" w:sz="6" w:space="0" w:color="auto"/>
              <w:left w:val="nil"/>
              <w:bottom w:val="single" w:sz="12"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68.7</w:t>
            </w:r>
          </w:p>
        </w:tc>
        <w:tc>
          <w:tcPr>
            <w:tcW w:w="937" w:type="dxa"/>
            <w:tcBorders>
              <w:top w:val="single" w:sz="6" w:space="0" w:color="auto"/>
              <w:left w:val="nil"/>
              <w:bottom w:val="single" w:sz="12"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70.9</w:t>
            </w:r>
          </w:p>
        </w:tc>
        <w:tc>
          <w:tcPr>
            <w:tcW w:w="937" w:type="dxa"/>
            <w:tcBorders>
              <w:top w:val="single" w:sz="6" w:space="0" w:color="auto"/>
              <w:left w:val="nil"/>
              <w:bottom w:val="single" w:sz="12"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70.4</w:t>
            </w:r>
          </w:p>
        </w:tc>
        <w:tc>
          <w:tcPr>
            <w:tcW w:w="937" w:type="dxa"/>
            <w:tcBorders>
              <w:top w:val="single" w:sz="6" w:space="0" w:color="auto"/>
              <w:left w:val="nil"/>
              <w:bottom w:val="single" w:sz="12"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 xml:space="preserve"> 69.1</w:t>
            </w:r>
          </w:p>
        </w:tc>
      </w:tr>
      <w:tr w:rsidR="00F60B5F" w:rsidRPr="00EB331D" w:rsidTr="00EB331D">
        <w:trPr>
          <w:cantSplit/>
          <w:trHeight w:hRule="exact" w:val="120"/>
        </w:trPr>
        <w:tc>
          <w:tcPr>
            <w:tcW w:w="3165" w:type="dxa"/>
            <w:tcBorders>
              <w:top w:val="nil"/>
              <w:left w:val="nil"/>
              <w:bottom w:val="nil"/>
              <w:right w:val="nil"/>
            </w:tcBorders>
          </w:tcPr>
          <w:p w:rsidR="00F60B5F" w:rsidRPr="00EB331D" w:rsidRDefault="00F60B5F" w:rsidP="00EB331D">
            <w:pPr>
              <w:pStyle w:val="Tabletext"/>
              <w:rPr>
                <w:rFonts w:eastAsiaTheme="minorEastAsia"/>
                <w:b/>
                <w:bCs/>
                <w:szCs w:val="22"/>
                <w:lang w:eastAsia="en-AU"/>
              </w:rPr>
            </w:pPr>
          </w:p>
        </w:tc>
        <w:tc>
          <w:tcPr>
            <w:tcW w:w="84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c>
          <w:tcPr>
            <w:tcW w:w="937" w:type="dxa"/>
            <w:tcBorders>
              <w:top w:val="nil"/>
              <w:left w:val="nil"/>
              <w:bottom w:val="nil"/>
              <w:right w:val="nil"/>
            </w:tcBorders>
          </w:tcPr>
          <w:p w:rsidR="00F60B5F" w:rsidRPr="00EB331D" w:rsidRDefault="00F60B5F" w:rsidP="00EB331D">
            <w:pPr>
              <w:pStyle w:val="TableofFigures"/>
              <w:rPr>
                <w:rFonts w:eastAsiaTheme="minorEastAsia"/>
                <w:b/>
                <w:lang w:eastAsia="en-AU"/>
              </w:rPr>
            </w:pPr>
          </w:p>
        </w:tc>
      </w:tr>
      <w:tr w:rsidR="00F60B5F" w:rsidRPr="00EB331D" w:rsidTr="00EB331D">
        <w:trPr>
          <w:cantSplit/>
        </w:trPr>
        <w:tc>
          <w:tcPr>
            <w:tcW w:w="3165" w:type="dxa"/>
            <w:tcBorders>
              <w:top w:val="nil"/>
              <w:left w:val="nil"/>
              <w:bottom w:val="nil"/>
              <w:right w:val="nil"/>
            </w:tcBorders>
          </w:tcPr>
          <w:p w:rsidR="00F60B5F" w:rsidRPr="00EB331D" w:rsidRDefault="00F60B5F" w:rsidP="00EB331D">
            <w:pPr>
              <w:pStyle w:val="Tabletext"/>
              <w:rPr>
                <w:rFonts w:eastAsiaTheme="minorEastAsia" w:cs="Calibri"/>
                <w:b/>
                <w:bCs/>
                <w:szCs w:val="22"/>
                <w:vertAlign w:val="superscript"/>
                <w:lang w:eastAsia="en-AU"/>
              </w:rPr>
            </w:pPr>
            <w:r w:rsidRPr="00EB331D">
              <w:rPr>
                <w:rFonts w:eastAsiaTheme="minorEastAsia"/>
                <w:b/>
                <w:bCs/>
                <w:szCs w:val="22"/>
                <w:lang w:eastAsia="en-AU"/>
              </w:rPr>
              <w:t>Net debt to GSP</w:t>
            </w:r>
            <w:r w:rsidR="00F5237E">
              <w:rPr>
                <w:rFonts w:eastAsiaTheme="minorEastAsia"/>
                <w:b/>
                <w:bCs/>
                <w:szCs w:val="22"/>
                <w:lang w:eastAsia="en-AU"/>
              </w:rPr>
              <w:t xml:space="preserve"> </w:t>
            </w:r>
            <w:r w:rsidRPr="00EB331D">
              <w:rPr>
                <w:rFonts w:eastAsiaTheme="minorEastAsia"/>
                <w:b/>
                <w:bCs/>
                <w:szCs w:val="22"/>
                <w:vertAlign w:val="superscript"/>
                <w:lang w:eastAsia="en-AU"/>
              </w:rPr>
              <w:t>(</w:t>
            </w:r>
            <w:r w:rsidRPr="00EB331D">
              <w:rPr>
                <w:rFonts w:eastAsiaTheme="minorEastAsia" w:cs="Calibri"/>
                <w:b/>
                <w:bCs/>
                <w:szCs w:val="22"/>
                <w:vertAlign w:val="superscript"/>
                <w:lang w:eastAsia="en-AU"/>
              </w:rPr>
              <w:t>d)</w:t>
            </w:r>
          </w:p>
        </w:tc>
        <w:tc>
          <w:tcPr>
            <w:tcW w:w="847" w:type="dxa"/>
            <w:tcBorders>
              <w:top w:val="nil"/>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10.2</w:t>
            </w:r>
          </w:p>
        </w:tc>
        <w:tc>
          <w:tcPr>
            <w:tcW w:w="937" w:type="dxa"/>
            <w:tcBorders>
              <w:top w:val="nil"/>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11.0</w:t>
            </w:r>
          </w:p>
        </w:tc>
        <w:tc>
          <w:tcPr>
            <w:tcW w:w="937" w:type="dxa"/>
            <w:tcBorders>
              <w:top w:val="nil"/>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11.2</w:t>
            </w:r>
          </w:p>
        </w:tc>
        <w:tc>
          <w:tcPr>
            <w:tcW w:w="937" w:type="dxa"/>
            <w:tcBorders>
              <w:top w:val="nil"/>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10.6</w:t>
            </w:r>
          </w:p>
        </w:tc>
        <w:tc>
          <w:tcPr>
            <w:tcW w:w="937" w:type="dxa"/>
            <w:tcBorders>
              <w:top w:val="nil"/>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9.9</w:t>
            </w:r>
          </w:p>
        </w:tc>
      </w:tr>
      <w:tr w:rsidR="00F60B5F" w:rsidRPr="00EB331D" w:rsidTr="00EB331D">
        <w:trPr>
          <w:cantSplit/>
        </w:trPr>
        <w:tc>
          <w:tcPr>
            <w:tcW w:w="3165" w:type="dxa"/>
            <w:tcBorders>
              <w:top w:val="single" w:sz="6" w:space="0" w:color="auto"/>
              <w:left w:val="nil"/>
              <w:bottom w:val="single" w:sz="6" w:space="0" w:color="auto"/>
              <w:right w:val="nil"/>
            </w:tcBorders>
          </w:tcPr>
          <w:p w:rsidR="00F60B5F" w:rsidRPr="00EB331D" w:rsidRDefault="00F60B5F" w:rsidP="00EB331D">
            <w:pPr>
              <w:pStyle w:val="Tabletext"/>
              <w:rPr>
                <w:rFonts w:eastAsiaTheme="minorEastAsia" w:cs="Calibri"/>
                <w:b/>
                <w:bCs/>
                <w:szCs w:val="22"/>
                <w:vertAlign w:val="superscript"/>
                <w:lang w:eastAsia="en-AU"/>
              </w:rPr>
            </w:pPr>
            <w:r w:rsidRPr="00EB331D">
              <w:rPr>
                <w:rFonts w:eastAsiaTheme="minorEastAsia"/>
                <w:b/>
                <w:bCs/>
                <w:szCs w:val="22"/>
                <w:lang w:eastAsia="en-AU"/>
              </w:rPr>
              <w:t>Net debt plus superannuation liabilities to GSP</w:t>
            </w:r>
            <w:r w:rsidR="00F5237E">
              <w:rPr>
                <w:rFonts w:eastAsiaTheme="minorEastAsia"/>
                <w:b/>
                <w:bCs/>
                <w:szCs w:val="22"/>
                <w:lang w:eastAsia="en-AU"/>
              </w:rPr>
              <w:t xml:space="preserve"> </w:t>
            </w:r>
            <w:r w:rsidRPr="00EB331D">
              <w:rPr>
                <w:rFonts w:eastAsiaTheme="minorEastAsia"/>
                <w:b/>
                <w:bCs/>
                <w:szCs w:val="22"/>
                <w:vertAlign w:val="superscript"/>
                <w:lang w:eastAsia="en-AU"/>
              </w:rPr>
              <w:t>(</w:t>
            </w:r>
            <w:r w:rsidRPr="00EB331D">
              <w:rPr>
                <w:rFonts w:eastAsiaTheme="minorEastAsia" w:cs="Calibri"/>
                <w:b/>
                <w:bCs/>
                <w:szCs w:val="22"/>
                <w:vertAlign w:val="superscript"/>
                <w:lang w:eastAsia="en-AU"/>
              </w:rPr>
              <w:t>d)</w:t>
            </w:r>
          </w:p>
        </w:tc>
        <w:tc>
          <w:tcPr>
            <w:tcW w:w="84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17.7</w:t>
            </w:r>
          </w:p>
        </w:tc>
        <w:tc>
          <w:tcPr>
            <w:tcW w:w="93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17.7</w:t>
            </w:r>
          </w:p>
        </w:tc>
        <w:tc>
          <w:tcPr>
            <w:tcW w:w="93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17.5</w:t>
            </w:r>
          </w:p>
        </w:tc>
        <w:tc>
          <w:tcPr>
            <w:tcW w:w="93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16.5</w:t>
            </w:r>
          </w:p>
        </w:tc>
        <w:tc>
          <w:tcPr>
            <w:tcW w:w="937" w:type="dxa"/>
            <w:tcBorders>
              <w:top w:val="single" w:sz="6" w:space="0" w:color="auto"/>
              <w:left w:val="nil"/>
              <w:bottom w:val="single" w:sz="6" w:space="0" w:color="auto"/>
              <w:right w:val="nil"/>
            </w:tcBorders>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15.3</w:t>
            </w:r>
          </w:p>
        </w:tc>
      </w:tr>
      <w:tr w:rsidR="00F60B5F" w:rsidRPr="00EB331D" w:rsidTr="00EB331D">
        <w:trPr>
          <w:cantSplit/>
        </w:trPr>
        <w:tc>
          <w:tcPr>
            <w:tcW w:w="3165"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text"/>
              <w:rPr>
                <w:rFonts w:eastAsiaTheme="minorEastAsia" w:cs="Calibri"/>
                <w:b/>
                <w:bCs/>
                <w:szCs w:val="22"/>
                <w:vertAlign w:val="superscript"/>
                <w:lang w:eastAsia="en-AU"/>
              </w:rPr>
            </w:pPr>
            <w:r w:rsidRPr="00EB331D">
              <w:rPr>
                <w:rFonts w:eastAsiaTheme="minorEastAsia"/>
                <w:b/>
                <w:bCs/>
                <w:szCs w:val="22"/>
                <w:lang w:eastAsia="en-AU"/>
              </w:rPr>
              <w:t>Net financial liabilities to GSP</w:t>
            </w:r>
            <w:r w:rsidR="00F5237E">
              <w:rPr>
                <w:rFonts w:eastAsiaTheme="minorEastAsia"/>
                <w:b/>
                <w:bCs/>
                <w:szCs w:val="22"/>
                <w:lang w:eastAsia="en-AU"/>
              </w:rPr>
              <w:t xml:space="preserve"> </w:t>
            </w:r>
            <w:r w:rsidRPr="00EB331D">
              <w:rPr>
                <w:rFonts w:eastAsiaTheme="minorEastAsia"/>
                <w:b/>
                <w:bCs/>
                <w:szCs w:val="22"/>
                <w:vertAlign w:val="superscript"/>
                <w:lang w:eastAsia="en-AU"/>
              </w:rPr>
              <w:t>(</w:t>
            </w:r>
            <w:r w:rsidRPr="00EB331D">
              <w:rPr>
                <w:rFonts w:eastAsiaTheme="minorEastAsia" w:cs="Calibri"/>
                <w:b/>
                <w:bCs/>
                <w:szCs w:val="22"/>
                <w:vertAlign w:val="superscript"/>
                <w:lang w:eastAsia="en-AU"/>
              </w:rPr>
              <w:t>d)</w:t>
            </w:r>
          </w:p>
        </w:tc>
        <w:tc>
          <w:tcPr>
            <w:tcW w:w="847"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19.7</w:t>
            </w:r>
          </w:p>
        </w:tc>
        <w:tc>
          <w:tcPr>
            <w:tcW w:w="937"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19.5</w:t>
            </w:r>
          </w:p>
        </w:tc>
        <w:tc>
          <w:tcPr>
            <w:tcW w:w="937"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19.2</w:t>
            </w:r>
          </w:p>
        </w:tc>
        <w:tc>
          <w:tcPr>
            <w:tcW w:w="937"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18.1</w:t>
            </w:r>
          </w:p>
        </w:tc>
        <w:tc>
          <w:tcPr>
            <w:tcW w:w="937" w:type="dxa"/>
            <w:tcBorders>
              <w:top w:val="single" w:sz="6" w:space="0" w:color="auto"/>
              <w:left w:val="nil"/>
              <w:bottom w:val="single" w:sz="12" w:space="0" w:color="000000"/>
              <w:right w:val="nil"/>
            </w:tcBorders>
            <w:shd w:val="clear" w:color="auto" w:fill="auto"/>
          </w:tcPr>
          <w:p w:rsidR="00F60B5F" w:rsidRPr="00EB331D" w:rsidRDefault="00F60B5F" w:rsidP="00EB331D">
            <w:pPr>
              <w:pStyle w:val="TableofFigures"/>
              <w:rPr>
                <w:rFonts w:eastAsiaTheme="minorEastAsia"/>
                <w:b/>
                <w:bCs/>
                <w:lang w:eastAsia="en-AU"/>
              </w:rPr>
            </w:pPr>
            <w:r w:rsidRPr="00EB331D">
              <w:rPr>
                <w:rFonts w:eastAsiaTheme="minorEastAsia"/>
                <w:b/>
                <w:bCs/>
                <w:lang w:eastAsia="en-AU"/>
              </w:rPr>
              <w:t>16.8</w:t>
            </w:r>
          </w:p>
        </w:tc>
      </w:tr>
    </w:tbl>
    <w:p w:rsidR="00F60B5F" w:rsidRDefault="00F60B5F" w:rsidP="0061342B">
      <w:pPr>
        <w:pStyle w:val="Source"/>
      </w:pPr>
      <w:r>
        <w:t>Source: Department of Treasury and Finance</w:t>
      </w:r>
    </w:p>
    <w:p w:rsidR="00F60B5F" w:rsidRPr="00D7423E" w:rsidRDefault="00F60B5F" w:rsidP="00493FCC">
      <w:pPr>
        <w:pStyle w:val="Notes"/>
      </w:pPr>
      <w:r w:rsidRPr="00D7423E">
        <w:t>Notes:</w:t>
      </w:r>
    </w:p>
    <w:p w:rsidR="00F60B5F" w:rsidRDefault="00F60B5F" w:rsidP="00493FCC">
      <w:pPr>
        <w:pStyle w:val="Notes"/>
      </w:pPr>
      <w:r w:rsidRPr="003D1191">
        <w:t>(a)</w:t>
      </w:r>
      <w:r w:rsidRPr="003D1191">
        <w:tab/>
      </w:r>
      <w:r>
        <w:t>Net debt is the sum of deposits held, advances received and borrowings less the sum of cash, deposits, advances paid and investments, loans and placements.</w:t>
      </w:r>
    </w:p>
    <w:p w:rsidR="00F60B5F" w:rsidRDefault="00F60B5F" w:rsidP="00493FCC">
      <w:pPr>
        <w:pStyle w:val="Notes"/>
      </w:pPr>
      <w:r>
        <w:t>(b)</w:t>
      </w:r>
      <w:r>
        <w:tab/>
        <w:t>Includes other employee benefits and provisions, payables and other liabilities less other non</w:t>
      </w:r>
      <w:r>
        <w:noBreakHyphen/>
        <w:t>equity financial assets.</w:t>
      </w:r>
    </w:p>
    <w:p w:rsidR="00F60B5F" w:rsidRDefault="00F60B5F" w:rsidP="00493FCC">
      <w:pPr>
        <w:pStyle w:val="Notes"/>
      </w:pPr>
      <w:r w:rsidRPr="00150589">
        <w:t>(</w:t>
      </w:r>
      <w:r>
        <w:t>c</w:t>
      </w:r>
      <w:r w:rsidRPr="00150589">
        <w:t>)</w:t>
      </w:r>
      <w:r w:rsidRPr="00150589">
        <w:tab/>
      </w:r>
      <w:r>
        <w:t>Net financial liabilities is the sum of superannuation, borrowings and other net liabilities less non</w:t>
      </w:r>
      <w:r>
        <w:noBreakHyphen/>
        <w:t>equity financial assets</w:t>
      </w:r>
      <w:r w:rsidRPr="00D7423E">
        <w:t>.</w:t>
      </w:r>
    </w:p>
    <w:p w:rsidR="00F60B5F" w:rsidRDefault="00F60B5F" w:rsidP="00493FCC">
      <w:pPr>
        <w:pStyle w:val="Notes"/>
      </w:pPr>
      <w:r>
        <w:t>(d)</w:t>
      </w:r>
      <w:r>
        <w:tab/>
        <w:t>Ratios to GSP may vary from publications year to year due to revisions made by the ABS to its published GSP data.</w:t>
      </w:r>
    </w:p>
    <w:p w:rsidR="00F60B5F" w:rsidRPr="00D7423E" w:rsidRDefault="00F60B5F" w:rsidP="00493FCC">
      <w:pPr>
        <w:pStyle w:val="Notes"/>
      </w:pPr>
    </w:p>
    <w:p w:rsidR="00F60B5F" w:rsidRDefault="00F60B5F" w:rsidP="0061342B">
      <w:pPr>
        <w:pStyle w:val="Notes"/>
      </w:pPr>
    </w:p>
    <w:p w:rsidR="00F60B5F" w:rsidRPr="003A15DE" w:rsidRDefault="00F60B5F" w:rsidP="0017161D">
      <w:r>
        <w:t xml:space="preserve">Table 3.9 presents indicators of financial sustainability for the NFP sector. The ratio of operating cash flow surplus to revenue is a measure of operating performance. The rapid </w:t>
      </w:r>
      <w:r w:rsidRPr="003A15DE">
        <w:t>growth in this ratio over the forward estimates indicates an increasing level of cash generated from operations which can be used to fund n</w:t>
      </w:r>
      <w:r>
        <w:t>ecessary infrastructure and also meet the State’s commitment to fully funding the superannuation liability by 2035.</w:t>
      </w:r>
    </w:p>
    <w:p w:rsidR="00F60B5F" w:rsidRDefault="00F60B5F">
      <w:pPr>
        <w:spacing w:after="0"/>
      </w:pPr>
      <w:r>
        <w:br w:type="page"/>
      </w:r>
    </w:p>
    <w:p w:rsidR="00F60B5F" w:rsidRDefault="00F60B5F" w:rsidP="0017161D">
      <w:r w:rsidRPr="003A15DE">
        <w:t xml:space="preserve">The ratio of </w:t>
      </w:r>
      <w:r>
        <w:t xml:space="preserve">the </w:t>
      </w:r>
      <w:r w:rsidRPr="003A15DE">
        <w:t>NFP</w:t>
      </w:r>
      <w:r>
        <w:t xml:space="preserve"> sector’s</w:t>
      </w:r>
      <w:r w:rsidRPr="003A15DE">
        <w:t xml:space="preserve"> interest expense to revenue is a measure of the State’s debt service burden. This ratio is expected to increase to 5.4</w:t>
      </w:r>
      <w:r>
        <w:t> per cent</w:t>
      </w:r>
      <w:r w:rsidRPr="003A15DE">
        <w:t xml:space="preserve"> in 2014</w:t>
      </w:r>
      <w:r>
        <w:noBreakHyphen/>
      </w:r>
      <w:r w:rsidRPr="003A15DE">
        <w:t>15, before declining in 2015</w:t>
      </w:r>
      <w:r>
        <w:noBreakHyphen/>
      </w:r>
      <w:r w:rsidRPr="003A15DE">
        <w:t>16</w:t>
      </w:r>
      <w:r>
        <w:t xml:space="preserve"> as debt levels moderate. This is broadly in line with the ratio projected in the </w:t>
      </w:r>
      <w:r w:rsidRPr="00682824">
        <w:rPr>
          <w:i/>
        </w:rPr>
        <w:t>2013</w:t>
      </w:r>
      <w:r>
        <w:rPr>
          <w:i/>
        </w:rPr>
        <w:noBreakHyphen/>
      </w:r>
      <w:r w:rsidRPr="00682824">
        <w:rPr>
          <w:i/>
        </w:rPr>
        <w:t>14 Budget</w:t>
      </w:r>
      <w:r w:rsidRPr="00AC7F24">
        <w:t xml:space="preserve">, and reflects the Government’s commitment to </w:t>
      </w:r>
      <w:r>
        <w:t xml:space="preserve">maintain fiscal discipline and constrain expense growth. </w:t>
      </w:r>
      <w:r w:rsidRPr="003A15DE">
        <w:t>The reducing debt burden is demonstrated by the ratio of gross debt to revenue which falls from a peak of</w:t>
      </w:r>
      <w:r>
        <w:t xml:space="preserve"> 91.5 per cent in 2014</w:t>
      </w:r>
      <w:r>
        <w:noBreakHyphen/>
        <w:t>15 to 85.0 per cent in 2016</w:t>
      </w:r>
      <w:r>
        <w:noBreakHyphen/>
        <w:t xml:space="preserve">17. </w:t>
      </w:r>
    </w:p>
    <w:p w:rsidR="00F60B5F" w:rsidRDefault="00F60B5F" w:rsidP="00C116CA">
      <w:pPr>
        <w:pStyle w:val="Tableheading"/>
      </w:pPr>
      <w:r w:rsidRPr="00C116CA">
        <w:t xml:space="preserve">Table 3.9: </w:t>
      </w:r>
      <w:r>
        <w:tab/>
      </w:r>
      <w:r w:rsidRPr="00C116CA">
        <w:t>Indicators of financial sustainability for the non</w:t>
      </w:r>
      <w:r>
        <w:noBreakHyphen/>
      </w:r>
      <w:r w:rsidRPr="00C116CA">
        <w:t>financial public sector</w:t>
      </w:r>
    </w:p>
    <w:p w:rsidR="00F60B5F" w:rsidRPr="00817FE2" w:rsidRDefault="00F60B5F" w:rsidP="00817FE2">
      <w:pPr>
        <w:pStyle w:val="million"/>
        <w:rPr>
          <w:rFonts w:ascii="Times New Roman" w:hAnsi="Times New Roman"/>
          <w:b/>
          <w:sz w:val="20"/>
          <w:lang w:eastAsia="en-AU"/>
        </w:rPr>
      </w:pPr>
      <w:r>
        <w:t>(per cent)</w:t>
      </w:r>
    </w:p>
    <w:tbl>
      <w:tblPr>
        <w:tblW w:w="7760" w:type="dxa"/>
        <w:tblInd w:w="28" w:type="dxa"/>
        <w:tblLayout w:type="fixed"/>
        <w:tblCellMar>
          <w:left w:w="43" w:type="dxa"/>
          <w:right w:w="43" w:type="dxa"/>
        </w:tblCellMar>
        <w:tblLook w:val="0000" w:firstRow="0" w:lastRow="0" w:firstColumn="0" w:lastColumn="0" w:noHBand="0" w:noVBand="0"/>
      </w:tblPr>
      <w:tblGrid>
        <w:gridCol w:w="3345"/>
        <w:gridCol w:w="883"/>
        <w:gridCol w:w="883"/>
        <w:gridCol w:w="883"/>
        <w:gridCol w:w="883"/>
        <w:gridCol w:w="883"/>
      </w:tblGrid>
      <w:tr w:rsidR="00F60B5F" w:rsidRPr="00EB331D" w:rsidTr="00EB331D">
        <w:trPr>
          <w:cantSplit/>
          <w:tblHeader/>
        </w:trPr>
        <w:tc>
          <w:tcPr>
            <w:tcW w:w="3345" w:type="dxa"/>
            <w:tcBorders>
              <w:top w:val="single" w:sz="6" w:space="0" w:color="auto"/>
              <w:left w:val="single" w:sz="6" w:space="0" w:color="auto"/>
              <w:bottom w:val="nil"/>
              <w:right w:val="nil"/>
            </w:tcBorders>
            <w:shd w:val="clear" w:color="auto" w:fill="000000"/>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 </w:t>
            </w:r>
          </w:p>
        </w:tc>
        <w:tc>
          <w:tcPr>
            <w:tcW w:w="883" w:type="dxa"/>
            <w:tcBorders>
              <w:top w:val="single" w:sz="6" w:space="0" w:color="auto"/>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2012</w:t>
            </w:r>
            <w:r>
              <w:rPr>
                <w:rFonts w:eastAsiaTheme="minorEastAsia"/>
                <w:color w:val="FFFFFF"/>
                <w:lang w:eastAsia="en-AU"/>
              </w:rPr>
              <w:noBreakHyphen/>
            </w:r>
            <w:r w:rsidRPr="00EB331D">
              <w:rPr>
                <w:rFonts w:eastAsiaTheme="minorEastAsia"/>
                <w:color w:val="FFFFFF"/>
                <w:lang w:eastAsia="en-AU"/>
              </w:rPr>
              <w:t>13</w:t>
            </w:r>
          </w:p>
        </w:tc>
        <w:tc>
          <w:tcPr>
            <w:tcW w:w="883" w:type="dxa"/>
            <w:tcBorders>
              <w:top w:val="single" w:sz="6" w:space="0" w:color="auto"/>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2013</w:t>
            </w:r>
            <w:r>
              <w:rPr>
                <w:rFonts w:eastAsiaTheme="minorEastAsia"/>
                <w:color w:val="FFFFFF"/>
                <w:lang w:eastAsia="en-AU"/>
              </w:rPr>
              <w:noBreakHyphen/>
            </w:r>
            <w:r w:rsidRPr="00EB331D">
              <w:rPr>
                <w:rFonts w:eastAsiaTheme="minorEastAsia"/>
                <w:color w:val="FFFFFF"/>
                <w:lang w:eastAsia="en-AU"/>
              </w:rPr>
              <w:t>14</w:t>
            </w:r>
          </w:p>
        </w:tc>
        <w:tc>
          <w:tcPr>
            <w:tcW w:w="883" w:type="dxa"/>
            <w:tcBorders>
              <w:top w:val="single" w:sz="6" w:space="0" w:color="auto"/>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2014</w:t>
            </w:r>
            <w:r>
              <w:rPr>
                <w:rFonts w:eastAsiaTheme="minorEastAsia"/>
                <w:color w:val="FFFFFF"/>
                <w:lang w:eastAsia="en-AU"/>
              </w:rPr>
              <w:noBreakHyphen/>
            </w:r>
            <w:r w:rsidRPr="00EB331D">
              <w:rPr>
                <w:rFonts w:eastAsiaTheme="minorEastAsia"/>
                <w:color w:val="FFFFFF"/>
                <w:lang w:eastAsia="en-AU"/>
              </w:rPr>
              <w:t>15</w:t>
            </w:r>
          </w:p>
        </w:tc>
        <w:tc>
          <w:tcPr>
            <w:tcW w:w="883" w:type="dxa"/>
            <w:tcBorders>
              <w:top w:val="single" w:sz="6" w:space="0" w:color="auto"/>
              <w:left w:val="nil"/>
              <w:bottom w:val="nil"/>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2015</w:t>
            </w:r>
            <w:r>
              <w:rPr>
                <w:rFonts w:eastAsiaTheme="minorEastAsia"/>
                <w:color w:val="FFFFFF"/>
                <w:lang w:eastAsia="en-AU"/>
              </w:rPr>
              <w:noBreakHyphen/>
            </w:r>
            <w:r w:rsidRPr="00EB331D">
              <w:rPr>
                <w:rFonts w:eastAsiaTheme="minorEastAsia"/>
                <w:color w:val="FFFFFF"/>
                <w:lang w:eastAsia="en-AU"/>
              </w:rPr>
              <w:t>16</w:t>
            </w:r>
          </w:p>
        </w:tc>
        <w:tc>
          <w:tcPr>
            <w:tcW w:w="883" w:type="dxa"/>
            <w:tcBorders>
              <w:top w:val="single" w:sz="6" w:space="0" w:color="auto"/>
              <w:left w:val="nil"/>
              <w:bottom w:val="nil"/>
              <w:right w:val="single" w:sz="6" w:space="0" w:color="auto"/>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2016</w:t>
            </w:r>
            <w:r>
              <w:rPr>
                <w:rFonts w:eastAsiaTheme="minorEastAsia"/>
                <w:color w:val="FFFFFF"/>
                <w:lang w:eastAsia="en-AU"/>
              </w:rPr>
              <w:noBreakHyphen/>
            </w:r>
            <w:r w:rsidRPr="00EB331D">
              <w:rPr>
                <w:rFonts w:eastAsiaTheme="minorEastAsia"/>
                <w:color w:val="FFFFFF"/>
                <w:lang w:eastAsia="en-AU"/>
              </w:rPr>
              <w:t>17</w:t>
            </w:r>
          </w:p>
        </w:tc>
      </w:tr>
      <w:tr w:rsidR="00F60B5F" w:rsidRPr="00EB331D" w:rsidTr="00EB331D">
        <w:trPr>
          <w:cantSplit/>
          <w:tblHeader/>
        </w:trPr>
        <w:tc>
          <w:tcPr>
            <w:tcW w:w="3345" w:type="dxa"/>
            <w:tcBorders>
              <w:top w:val="nil"/>
              <w:left w:val="single" w:sz="6" w:space="0" w:color="auto"/>
              <w:bottom w:val="single" w:sz="6" w:space="0" w:color="auto"/>
              <w:right w:val="nil"/>
            </w:tcBorders>
            <w:shd w:val="clear" w:color="auto" w:fill="000000"/>
          </w:tcPr>
          <w:p w:rsidR="00F60B5F" w:rsidRPr="00EB331D" w:rsidRDefault="00F60B5F" w:rsidP="00EB331D">
            <w:pPr>
              <w:pStyle w:val="Tabletext"/>
              <w:rPr>
                <w:rFonts w:eastAsiaTheme="minorEastAsia"/>
                <w:lang w:eastAsia="en-AU"/>
              </w:rPr>
            </w:pPr>
            <w:r w:rsidRPr="00EB331D">
              <w:rPr>
                <w:rFonts w:eastAsiaTheme="minorEastAsia"/>
                <w:lang w:eastAsia="en-AU"/>
              </w:rPr>
              <w:t xml:space="preserve"> </w:t>
            </w:r>
          </w:p>
        </w:tc>
        <w:tc>
          <w:tcPr>
            <w:tcW w:w="883" w:type="dxa"/>
            <w:tcBorders>
              <w:top w:val="nil"/>
              <w:left w:val="nil"/>
              <w:bottom w:val="single" w:sz="6" w:space="0" w:color="auto"/>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Actual</w:t>
            </w:r>
          </w:p>
        </w:tc>
        <w:tc>
          <w:tcPr>
            <w:tcW w:w="883" w:type="dxa"/>
            <w:tcBorders>
              <w:top w:val="nil"/>
              <w:left w:val="nil"/>
              <w:bottom w:val="single" w:sz="6" w:space="0" w:color="auto"/>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Revised</w:t>
            </w:r>
          </w:p>
        </w:tc>
        <w:tc>
          <w:tcPr>
            <w:tcW w:w="883" w:type="dxa"/>
            <w:tcBorders>
              <w:top w:val="nil"/>
              <w:left w:val="nil"/>
              <w:bottom w:val="single" w:sz="6" w:space="0" w:color="auto"/>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c>
          <w:tcPr>
            <w:tcW w:w="883" w:type="dxa"/>
            <w:tcBorders>
              <w:top w:val="nil"/>
              <w:left w:val="nil"/>
              <w:bottom w:val="single" w:sz="6" w:space="0" w:color="auto"/>
              <w:right w:val="nil"/>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c>
          <w:tcPr>
            <w:tcW w:w="883" w:type="dxa"/>
            <w:tcBorders>
              <w:top w:val="nil"/>
              <w:left w:val="nil"/>
              <w:bottom w:val="single" w:sz="6" w:space="0" w:color="auto"/>
              <w:right w:val="single" w:sz="6" w:space="0" w:color="auto"/>
            </w:tcBorders>
            <w:shd w:val="clear" w:color="auto" w:fill="000000"/>
          </w:tcPr>
          <w:p w:rsidR="00F60B5F" w:rsidRPr="00EB331D" w:rsidRDefault="00F60B5F" w:rsidP="00EB331D">
            <w:pPr>
              <w:pStyle w:val="Tabletextheading"/>
              <w:rPr>
                <w:rFonts w:eastAsiaTheme="minorEastAsia"/>
                <w:color w:val="FFFFFF"/>
                <w:lang w:eastAsia="en-AU"/>
              </w:rPr>
            </w:pPr>
            <w:r w:rsidRPr="00EB331D">
              <w:rPr>
                <w:rFonts w:eastAsiaTheme="minorEastAsia"/>
                <w:color w:val="FFFFFF"/>
                <w:lang w:eastAsia="en-AU"/>
              </w:rPr>
              <w:t>Estimate</w:t>
            </w:r>
          </w:p>
        </w:tc>
      </w:tr>
      <w:tr w:rsidR="00F60B5F" w:rsidRPr="00EB331D" w:rsidTr="00EB331D">
        <w:trPr>
          <w:cantSplit/>
        </w:trPr>
        <w:tc>
          <w:tcPr>
            <w:tcW w:w="3345" w:type="dxa"/>
            <w:tcBorders>
              <w:top w:val="single" w:sz="6" w:space="0" w:color="auto"/>
              <w:left w:val="nil"/>
              <w:bottom w:val="nil"/>
              <w:right w:val="nil"/>
            </w:tcBorders>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Operating cash flow surplus to revenue</w:t>
            </w:r>
          </w:p>
        </w:tc>
        <w:tc>
          <w:tcPr>
            <w:tcW w:w="883" w:type="dxa"/>
            <w:tcBorders>
              <w:top w:val="single" w:sz="6" w:space="0" w:color="auto"/>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4.9</w:t>
            </w:r>
          </w:p>
        </w:tc>
        <w:tc>
          <w:tcPr>
            <w:tcW w:w="883" w:type="dxa"/>
            <w:tcBorders>
              <w:top w:val="single" w:sz="6" w:space="0" w:color="auto"/>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6.8</w:t>
            </w:r>
          </w:p>
        </w:tc>
        <w:tc>
          <w:tcPr>
            <w:tcW w:w="883" w:type="dxa"/>
            <w:tcBorders>
              <w:top w:val="single" w:sz="6" w:space="0" w:color="auto"/>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8.5</w:t>
            </w:r>
          </w:p>
        </w:tc>
        <w:tc>
          <w:tcPr>
            <w:tcW w:w="883" w:type="dxa"/>
            <w:tcBorders>
              <w:top w:val="single" w:sz="6" w:space="0" w:color="auto"/>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10.5</w:t>
            </w:r>
          </w:p>
        </w:tc>
        <w:tc>
          <w:tcPr>
            <w:tcW w:w="883" w:type="dxa"/>
            <w:tcBorders>
              <w:top w:val="single" w:sz="6" w:space="0" w:color="auto"/>
              <w:left w:val="nil"/>
              <w:bottom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11.2</w:t>
            </w:r>
          </w:p>
        </w:tc>
      </w:tr>
      <w:tr w:rsidR="00F60B5F" w:rsidRPr="00EB331D" w:rsidTr="00EB331D">
        <w:trPr>
          <w:cantSplit/>
        </w:trPr>
        <w:tc>
          <w:tcPr>
            <w:tcW w:w="3345" w:type="dxa"/>
            <w:tcBorders>
              <w:top w:val="nil"/>
              <w:left w:val="nil"/>
              <w:right w:val="nil"/>
            </w:tcBorders>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Gross debt to revenue</w:t>
            </w:r>
          </w:p>
        </w:tc>
        <w:tc>
          <w:tcPr>
            <w:tcW w:w="883" w:type="dxa"/>
            <w:tcBorders>
              <w:top w:val="nil"/>
              <w:left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86.5</w:t>
            </w:r>
          </w:p>
        </w:tc>
        <w:tc>
          <w:tcPr>
            <w:tcW w:w="883" w:type="dxa"/>
            <w:tcBorders>
              <w:top w:val="nil"/>
              <w:left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89.2</w:t>
            </w:r>
          </w:p>
        </w:tc>
        <w:tc>
          <w:tcPr>
            <w:tcW w:w="883" w:type="dxa"/>
            <w:tcBorders>
              <w:top w:val="nil"/>
              <w:left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91.5</w:t>
            </w:r>
          </w:p>
        </w:tc>
        <w:tc>
          <w:tcPr>
            <w:tcW w:w="883" w:type="dxa"/>
            <w:tcBorders>
              <w:top w:val="nil"/>
              <w:left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89.1</w:t>
            </w:r>
          </w:p>
        </w:tc>
        <w:tc>
          <w:tcPr>
            <w:tcW w:w="883" w:type="dxa"/>
            <w:tcBorders>
              <w:top w:val="nil"/>
              <w:left w:val="nil"/>
              <w:right w:val="nil"/>
            </w:tcBorders>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85.0</w:t>
            </w:r>
          </w:p>
        </w:tc>
      </w:tr>
      <w:tr w:rsidR="00F60B5F" w:rsidRPr="00EB331D" w:rsidTr="00EB331D">
        <w:trPr>
          <w:cantSplit/>
        </w:trPr>
        <w:tc>
          <w:tcPr>
            <w:tcW w:w="3345" w:type="dxa"/>
            <w:tcBorders>
              <w:top w:val="nil"/>
              <w:left w:val="nil"/>
              <w:bottom w:val="single" w:sz="12" w:space="0" w:color="000000"/>
              <w:right w:val="nil"/>
            </w:tcBorders>
            <w:shd w:val="clear" w:color="auto" w:fill="auto"/>
          </w:tcPr>
          <w:p w:rsidR="00F60B5F" w:rsidRPr="00EB331D" w:rsidRDefault="00F60B5F" w:rsidP="00EB331D">
            <w:pPr>
              <w:pStyle w:val="Tabletext"/>
              <w:rPr>
                <w:rFonts w:eastAsiaTheme="minorEastAsia"/>
                <w:szCs w:val="22"/>
                <w:lang w:eastAsia="en-AU"/>
              </w:rPr>
            </w:pPr>
            <w:r w:rsidRPr="00EB331D">
              <w:rPr>
                <w:rFonts w:eastAsiaTheme="minorEastAsia"/>
                <w:szCs w:val="22"/>
                <w:lang w:eastAsia="en-AU"/>
              </w:rPr>
              <w:t>Interest expense to revenue</w:t>
            </w:r>
          </w:p>
        </w:tc>
        <w:tc>
          <w:tcPr>
            <w:tcW w:w="883" w:type="dxa"/>
            <w:tcBorders>
              <w:top w:val="nil"/>
              <w:left w:val="nil"/>
              <w:bottom w:val="single" w:sz="12" w:space="0" w:color="000000"/>
              <w:right w:val="nil"/>
            </w:tcBorders>
            <w:shd w:val="clear" w:color="auto" w:fill="auto"/>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4.8</w:t>
            </w:r>
          </w:p>
        </w:tc>
        <w:tc>
          <w:tcPr>
            <w:tcW w:w="883" w:type="dxa"/>
            <w:tcBorders>
              <w:top w:val="nil"/>
              <w:left w:val="nil"/>
              <w:bottom w:val="single" w:sz="12" w:space="0" w:color="000000"/>
              <w:right w:val="nil"/>
            </w:tcBorders>
            <w:shd w:val="clear" w:color="auto" w:fill="auto"/>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5.4</w:t>
            </w:r>
          </w:p>
        </w:tc>
        <w:tc>
          <w:tcPr>
            <w:tcW w:w="883" w:type="dxa"/>
            <w:tcBorders>
              <w:top w:val="nil"/>
              <w:left w:val="nil"/>
              <w:bottom w:val="single" w:sz="12" w:space="0" w:color="000000"/>
              <w:right w:val="nil"/>
            </w:tcBorders>
            <w:shd w:val="clear" w:color="auto" w:fill="auto"/>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5.4</w:t>
            </w:r>
          </w:p>
        </w:tc>
        <w:tc>
          <w:tcPr>
            <w:tcW w:w="883" w:type="dxa"/>
            <w:tcBorders>
              <w:top w:val="nil"/>
              <w:left w:val="nil"/>
              <w:bottom w:val="single" w:sz="12" w:space="0" w:color="000000"/>
              <w:right w:val="nil"/>
            </w:tcBorders>
            <w:shd w:val="clear" w:color="auto" w:fill="auto"/>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5.3</w:t>
            </w:r>
          </w:p>
        </w:tc>
        <w:tc>
          <w:tcPr>
            <w:tcW w:w="883" w:type="dxa"/>
            <w:tcBorders>
              <w:top w:val="nil"/>
              <w:left w:val="nil"/>
              <w:bottom w:val="single" w:sz="12" w:space="0" w:color="000000"/>
              <w:right w:val="nil"/>
            </w:tcBorders>
            <w:shd w:val="clear" w:color="auto" w:fill="auto"/>
          </w:tcPr>
          <w:p w:rsidR="00F60B5F" w:rsidRPr="00EB331D" w:rsidRDefault="00F60B5F" w:rsidP="00EB331D">
            <w:pPr>
              <w:pStyle w:val="TableofFigures"/>
              <w:rPr>
                <w:rFonts w:eastAsiaTheme="minorEastAsia"/>
                <w:lang w:eastAsia="en-AU"/>
              </w:rPr>
            </w:pPr>
            <w:r w:rsidRPr="00EB331D">
              <w:rPr>
                <w:rFonts w:eastAsiaTheme="minorEastAsia"/>
                <w:lang w:eastAsia="en-AU"/>
              </w:rPr>
              <w:t xml:space="preserve"> 5.2</w:t>
            </w:r>
          </w:p>
        </w:tc>
      </w:tr>
    </w:tbl>
    <w:p w:rsidR="00F60B5F" w:rsidRDefault="00F60B5F" w:rsidP="0061342B">
      <w:pPr>
        <w:pStyle w:val="Source"/>
      </w:pPr>
      <w:r w:rsidRPr="0061342B">
        <w:t>Source: Department of Treasury and Finance</w:t>
      </w:r>
    </w:p>
    <w:p w:rsidR="00F60B5F" w:rsidRDefault="00F60B5F" w:rsidP="002C1200"/>
    <w:p w:rsidR="00F60B5F" w:rsidRDefault="00F60B5F" w:rsidP="002C1200">
      <w:r w:rsidRPr="002C1200">
        <w:t>The chart below shows a longer</w:t>
      </w:r>
      <w:r>
        <w:t xml:space="preserve"> term trend of the ratio of NFP sector </w:t>
      </w:r>
      <w:r w:rsidRPr="002C1200">
        <w:t>gross debt to revenue</w:t>
      </w:r>
      <w:r>
        <w:t>.</w:t>
      </w:r>
    </w:p>
    <w:p w:rsidR="00F60B5F" w:rsidRDefault="00F60B5F" w:rsidP="005C0499">
      <w:pPr>
        <w:pStyle w:val="Chartheading"/>
      </w:pPr>
      <w:r w:rsidRPr="00C116CA">
        <w:t>Chart 3.</w:t>
      </w:r>
      <w:r w:rsidR="000A48A1">
        <w:t>3</w:t>
      </w:r>
      <w:r w:rsidRPr="00C116CA">
        <w:t xml:space="preserve">: </w:t>
      </w:r>
      <w:r>
        <w:tab/>
      </w:r>
      <w:r w:rsidRPr="00C116CA">
        <w:t>Non</w:t>
      </w:r>
      <w:r>
        <w:noBreakHyphen/>
      </w:r>
      <w:r w:rsidRPr="00C116CA">
        <w:t xml:space="preserve">financial public sector </w:t>
      </w:r>
      <w:r>
        <w:t>gross debt</w:t>
      </w:r>
      <w:r w:rsidRPr="00C116CA">
        <w:t xml:space="preserve"> to </w:t>
      </w:r>
      <w:r>
        <w:t>revenue</w:t>
      </w:r>
      <w:r w:rsidRPr="0061342B">
        <w:rPr>
          <w:vertAlign w:val="superscript"/>
        </w:rPr>
        <w:t>(a)</w:t>
      </w:r>
    </w:p>
    <w:p w:rsidR="00F60B5F" w:rsidRDefault="005B6C02" w:rsidP="007A35C9">
      <w:pPr>
        <w:pStyle w:val="Chartpara"/>
      </w:pPr>
      <w:r>
        <w:pict>
          <v:shape id="_x0000_i1028" type="#_x0000_t75" style="width:383.25pt;height:226.75pt">
            <v:imagedata r:id="rId26" o:title=""/>
          </v:shape>
        </w:pict>
      </w:r>
    </w:p>
    <w:p w:rsidR="00F60B5F" w:rsidRDefault="00F60B5F" w:rsidP="0061342B">
      <w:pPr>
        <w:pStyle w:val="Notes"/>
      </w:pPr>
      <w:r>
        <w:t>Note:</w:t>
      </w:r>
    </w:p>
    <w:p w:rsidR="00F60B5F" w:rsidRDefault="00F60B5F" w:rsidP="0061342B">
      <w:pPr>
        <w:pStyle w:val="Notes"/>
      </w:pPr>
      <w:r>
        <w:t>(a)</w:t>
      </w:r>
      <w:r>
        <w:tab/>
        <w:t>Gross debt includes borrowings and deposits held and advances received.</w:t>
      </w:r>
    </w:p>
    <w:p w:rsidR="00F60B5F" w:rsidRDefault="00F60B5F">
      <w:pPr>
        <w:spacing w:after="0"/>
        <w:rPr>
          <w:rFonts w:ascii="Calibri" w:hAnsi="Calibri"/>
          <w:b/>
          <w:caps/>
          <w:sz w:val="26"/>
          <w:szCs w:val="22"/>
        </w:rPr>
      </w:pPr>
      <w:r>
        <w:br w:type="page"/>
      </w:r>
    </w:p>
    <w:p w:rsidR="00F60B5F" w:rsidRDefault="00F60B5F" w:rsidP="00C116CA">
      <w:pPr>
        <w:pStyle w:val="Heading1"/>
      </w:pPr>
      <w:bookmarkStart w:id="20" w:name="_Toc374373952"/>
      <w:r>
        <w:t>State of Victoria</w:t>
      </w:r>
      <w:bookmarkEnd w:id="20"/>
    </w:p>
    <w:p w:rsidR="00F60B5F" w:rsidRPr="00B154CC" w:rsidRDefault="00F60B5F" w:rsidP="00B154CC">
      <w:r w:rsidRPr="00C22521">
        <w:t>The State of Victoria financial results are obtained by consolidating the PFC sector with the NFP</w:t>
      </w:r>
      <w:r>
        <w:t xml:space="preserve"> sector. </w:t>
      </w:r>
      <w:r w:rsidRPr="00C22521">
        <w:t>There are two broad types of PFCs: those that provide services to the general public and businesses (such as the statutory insurers like the Transport Accident Commission and</w:t>
      </w:r>
      <w:r>
        <w:t xml:space="preserve"> Victorian WorkCover Authority),</w:t>
      </w:r>
      <w:r w:rsidRPr="00C22521">
        <w:t xml:space="preserve"> and those that provide financial services, predominantly to other government entities (such as </w:t>
      </w:r>
      <w:r>
        <w:t xml:space="preserve">the </w:t>
      </w:r>
      <w:r w:rsidRPr="00C22521">
        <w:t>Victorian Funds Management Corporation and Treasury Corporation of Victoria).</w:t>
      </w:r>
    </w:p>
    <w:p w:rsidR="00F60B5F" w:rsidRDefault="00F60B5F" w:rsidP="00C116CA">
      <w:pPr>
        <w:pStyle w:val="Tableheading"/>
      </w:pPr>
      <w:r w:rsidRPr="00C116CA">
        <w:t>Table 3.</w:t>
      </w:r>
      <w:r>
        <w:t>10</w:t>
      </w:r>
      <w:r w:rsidRPr="00C116CA">
        <w:t xml:space="preserve">: </w:t>
      </w:r>
      <w:r>
        <w:tab/>
      </w:r>
      <w:r w:rsidRPr="00C116CA">
        <w:t>Summary operating statement for the State of Victoria</w:t>
      </w:r>
      <w:r w:rsidRPr="000A13BE">
        <w:rPr>
          <w:vertAlign w:val="superscript"/>
        </w:rPr>
        <w:t>(a)</w:t>
      </w:r>
      <w:r>
        <w:rPr>
          <w:vertAlign w:val="superscript"/>
        </w:rPr>
        <w:t>(b)</w:t>
      </w:r>
    </w:p>
    <w:p w:rsidR="00F60B5F" w:rsidRPr="00817FE2" w:rsidRDefault="00F60B5F" w:rsidP="00817FE2">
      <w:pPr>
        <w:pStyle w:val="million"/>
      </w:pPr>
      <w:r>
        <w:t xml:space="preserve"> ($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60B5F" w:rsidRPr="00817FE2" w:rsidTr="00817FE2">
        <w:trPr>
          <w:cantSplit/>
        </w:trPr>
        <w:tc>
          <w:tcPr>
            <w:tcW w:w="2808" w:type="dxa"/>
            <w:tcBorders>
              <w:top w:val="single" w:sz="4" w:space="0" w:color="auto"/>
              <w:left w:val="single" w:sz="4" w:space="0" w:color="auto"/>
              <w:bottom w:val="nil"/>
              <w:right w:val="nil"/>
            </w:tcBorders>
            <w:shd w:val="clear" w:color="auto" w:fill="000000"/>
          </w:tcPr>
          <w:p w:rsidR="00F60B5F" w:rsidRPr="00817FE2" w:rsidRDefault="00F60B5F" w:rsidP="00817FE2">
            <w:pPr>
              <w:pStyle w:val="Tabletext"/>
              <w:rPr>
                <w:rFonts w:eastAsiaTheme="minorEastAsia"/>
                <w:lang w:eastAsia="en-AU"/>
              </w:rPr>
            </w:pPr>
            <w:r w:rsidRPr="00817FE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2012</w:t>
            </w:r>
            <w:r>
              <w:rPr>
                <w:rFonts w:eastAsiaTheme="minorEastAsia"/>
                <w:lang w:eastAsia="en-AU"/>
              </w:rPr>
              <w:noBreakHyphen/>
            </w:r>
            <w:r w:rsidRPr="00817FE2">
              <w:rPr>
                <w:rFonts w:eastAsiaTheme="minorEastAsia"/>
                <w:lang w:eastAsia="en-AU"/>
              </w:rPr>
              <w:t>13</w:t>
            </w:r>
          </w:p>
        </w:tc>
        <w:tc>
          <w:tcPr>
            <w:tcW w:w="993" w:type="dxa"/>
            <w:tcBorders>
              <w:top w:val="single" w:sz="4" w:space="0" w:color="auto"/>
              <w:left w:val="nil"/>
              <w:bottom w:val="nil"/>
              <w:right w:val="nil"/>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2013</w:t>
            </w:r>
            <w:r>
              <w:rPr>
                <w:rFonts w:eastAsiaTheme="minorEastAsia"/>
                <w:lang w:eastAsia="en-AU"/>
              </w:rPr>
              <w:noBreakHyphen/>
            </w:r>
            <w:r w:rsidRPr="00817FE2">
              <w:rPr>
                <w:rFonts w:eastAsiaTheme="minorEastAsia"/>
                <w:lang w:eastAsia="en-AU"/>
              </w:rPr>
              <w:t>14</w:t>
            </w:r>
          </w:p>
        </w:tc>
        <w:tc>
          <w:tcPr>
            <w:tcW w:w="993" w:type="dxa"/>
            <w:tcBorders>
              <w:top w:val="single" w:sz="4" w:space="0" w:color="auto"/>
              <w:left w:val="nil"/>
              <w:bottom w:val="nil"/>
              <w:right w:val="nil"/>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2014</w:t>
            </w:r>
            <w:r>
              <w:rPr>
                <w:rFonts w:eastAsiaTheme="minorEastAsia"/>
                <w:lang w:eastAsia="en-AU"/>
              </w:rPr>
              <w:noBreakHyphen/>
            </w:r>
            <w:r w:rsidRPr="00817FE2">
              <w:rPr>
                <w:rFonts w:eastAsiaTheme="minorEastAsia"/>
                <w:lang w:eastAsia="en-AU"/>
              </w:rPr>
              <w:t>15</w:t>
            </w:r>
          </w:p>
        </w:tc>
        <w:tc>
          <w:tcPr>
            <w:tcW w:w="993" w:type="dxa"/>
            <w:tcBorders>
              <w:top w:val="single" w:sz="4" w:space="0" w:color="auto"/>
              <w:left w:val="nil"/>
              <w:bottom w:val="nil"/>
              <w:right w:val="nil"/>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2015</w:t>
            </w:r>
            <w:r>
              <w:rPr>
                <w:rFonts w:eastAsiaTheme="minorEastAsia"/>
                <w:lang w:eastAsia="en-AU"/>
              </w:rPr>
              <w:noBreakHyphen/>
            </w:r>
            <w:r w:rsidRPr="00817FE2">
              <w:rPr>
                <w:rFonts w:eastAsiaTheme="minorEastAsia"/>
                <w:lang w:eastAsia="en-AU"/>
              </w:rPr>
              <w:t>16</w:t>
            </w:r>
          </w:p>
        </w:tc>
        <w:tc>
          <w:tcPr>
            <w:tcW w:w="993" w:type="dxa"/>
            <w:tcBorders>
              <w:top w:val="single" w:sz="4" w:space="0" w:color="auto"/>
              <w:left w:val="nil"/>
              <w:bottom w:val="nil"/>
              <w:right w:val="single" w:sz="4" w:space="0" w:color="auto"/>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2016</w:t>
            </w:r>
            <w:r>
              <w:rPr>
                <w:rFonts w:eastAsiaTheme="minorEastAsia"/>
                <w:lang w:eastAsia="en-AU"/>
              </w:rPr>
              <w:noBreakHyphen/>
            </w:r>
            <w:r w:rsidRPr="00817FE2">
              <w:rPr>
                <w:rFonts w:eastAsiaTheme="minorEastAsia"/>
                <w:lang w:eastAsia="en-AU"/>
              </w:rPr>
              <w:t>17</w:t>
            </w:r>
          </w:p>
        </w:tc>
      </w:tr>
      <w:tr w:rsidR="00F60B5F" w:rsidRPr="00817FE2" w:rsidTr="00817FE2">
        <w:trPr>
          <w:cantSplit/>
        </w:trPr>
        <w:tc>
          <w:tcPr>
            <w:tcW w:w="2808" w:type="dxa"/>
            <w:tcBorders>
              <w:top w:val="nil"/>
              <w:left w:val="single" w:sz="4" w:space="0" w:color="auto"/>
              <w:bottom w:val="single" w:sz="4" w:space="0" w:color="auto"/>
              <w:right w:val="nil"/>
            </w:tcBorders>
            <w:shd w:val="clear" w:color="auto" w:fill="000000"/>
          </w:tcPr>
          <w:p w:rsidR="00F60B5F" w:rsidRPr="00817FE2" w:rsidRDefault="00F60B5F" w:rsidP="00817FE2">
            <w:pPr>
              <w:pStyle w:val="Tabletext"/>
              <w:rPr>
                <w:rFonts w:eastAsiaTheme="minorEastAsia"/>
                <w:lang w:eastAsia="en-AU"/>
              </w:rPr>
            </w:pPr>
            <w:r w:rsidRPr="00817FE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60B5F" w:rsidRPr="00817FE2" w:rsidRDefault="00F60B5F" w:rsidP="00817FE2">
            <w:pPr>
              <w:pStyle w:val="Tabletextheading"/>
              <w:rPr>
                <w:rFonts w:eastAsiaTheme="minorEastAsia"/>
                <w:lang w:eastAsia="en-AU"/>
              </w:rPr>
            </w:pPr>
            <w:r w:rsidRPr="00817FE2">
              <w:rPr>
                <w:rFonts w:eastAsiaTheme="minorEastAsia"/>
                <w:lang w:eastAsia="en-AU"/>
              </w:rPr>
              <w:t>Estimate</w:t>
            </w:r>
          </w:p>
        </w:tc>
      </w:tr>
      <w:tr w:rsidR="00F60B5F" w:rsidRPr="00817FE2" w:rsidTr="00817FE2">
        <w:trPr>
          <w:cantSplit/>
        </w:trPr>
        <w:tc>
          <w:tcPr>
            <w:tcW w:w="2808" w:type="dxa"/>
            <w:tcBorders>
              <w:top w:val="single" w:sz="4" w:space="0" w:color="auto"/>
              <w:left w:val="nil"/>
              <w:bottom w:val="nil"/>
              <w:right w:val="nil"/>
            </w:tcBorders>
          </w:tcPr>
          <w:p w:rsidR="00F60B5F" w:rsidRPr="00817FE2" w:rsidRDefault="00F60B5F" w:rsidP="00817FE2">
            <w:pPr>
              <w:pStyle w:val="Tabletext"/>
              <w:rPr>
                <w:rFonts w:eastAsiaTheme="minorEastAsia"/>
                <w:b/>
                <w:bCs/>
                <w:lang w:eastAsia="en-AU"/>
              </w:rPr>
            </w:pPr>
            <w:r w:rsidRPr="00817FE2">
              <w:rPr>
                <w:rFonts w:eastAsiaTheme="minorEastAsia"/>
                <w:b/>
                <w:bCs/>
                <w:lang w:eastAsia="en-AU"/>
              </w:rPr>
              <w:t>Revenue</w:t>
            </w:r>
          </w:p>
        </w:tc>
        <w:tc>
          <w:tcPr>
            <w:tcW w:w="993" w:type="dxa"/>
            <w:tcBorders>
              <w:top w:val="single" w:sz="4" w:space="0" w:color="auto"/>
              <w:left w:val="nil"/>
              <w:bottom w:val="nil"/>
              <w:right w:val="nil"/>
            </w:tcBorders>
          </w:tcPr>
          <w:p w:rsidR="00F60B5F" w:rsidRPr="00817FE2" w:rsidRDefault="00F60B5F" w:rsidP="00817FE2">
            <w:pPr>
              <w:pStyle w:val="TableofFigures"/>
              <w:rPr>
                <w:rFonts w:eastAsiaTheme="minorEastAsia"/>
                <w:b/>
                <w:lang w:eastAsia="en-AU"/>
              </w:rPr>
            </w:pPr>
          </w:p>
        </w:tc>
        <w:tc>
          <w:tcPr>
            <w:tcW w:w="993" w:type="dxa"/>
            <w:tcBorders>
              <w:top w:val="single" w:sz="4" w:space="0" w:color="auto"/>
              <w:left w:val="nil"/>
              <w:bottom w:val="nil"/>
              <w:right w:val="nil"/>
            </w:tcBorders>
          </w:tcPr>
          <w:p w:rsidR="00F60B5F" w:rsidRPr="00817FE2" w:rsidRDefault="00F60B5F" w:rsidP="00817FE2">
            <w:pPr>
              <w:pStyle w:val="TableofFigures"/>
              <w:rPr>
                <w:rFonts w:eastAsiaTheme="minorEastAsia"/>
                <w:b/>
                <w:lang w:eastAsia="en-AU"/>
              </w:rPr>
            </w:pPr>
          </w:p>
        </w:tc>
        <w:tc>
          <w:tcPr>
            <w:tcW w:w="993" w:type="dxa"/>
            <w:tcBorders>
              <w:top w:val="single" w:sz="4" w:space="0" w:color="auto"/>
              <w:left w:val="nil"/>
              <w:bottom w:val="nil"/>
              <w:right w:val="nil"/>
            </w:tcBorders>
          </w:tcPr>
          <w:p w:rsidR="00F60B5F" w:rsidRPr="00817FE2" w:rsidRDefault="00F60B5F" w:rsidP="00817FE2">
            <w:pPr>
              <w:pStyle w:val="TableofFigures"/>
              <w:rPr>
                <w:rFonts w:eastAsiaTheme="minorEastAsia"/>
                <w:b/>
                <w:lang w:eastAsia="en-AU"/>
              </w:rPr>
            </w:pPr>
          </w:p>
        </w:tc>
        <w:tc>
          <w:tcPr>
            <w:tcW w:w="993" w:type="dxa"/>
            <w:tcBorders>
              <w:top w:val="single" w:sz="4" w:space="0" w:color="auto"/>
              <w:left w:val="nil"/>
              <w:bottom w:val="nil"/>
              <w:right w:val="nil"/>
            </w:tcBorders>
          </w:tcPr>
          <w:p w:rsidR="00F60B5F" w:rsidRPr="00817FE2" w:rsidRDefault="00F60B5F" w:rsidP="00817FE2">
            <w:pPr>
              <w:pStyle w:val="TableofFigures"/>
              <w:rPr>
                <w:rFonts w:eastAsiaTheme="minorEastAsia"/>
                <w:b/>
                <w:lang w:eastAsia="en-AU"/>
              </w:rPr>
            </w:pPr>
          </w:p>
        </w:tc>
        <w:tc>
          <w:tcPr>
            <w:tcW w:w="993" w:type="dxa"/>
            <w:tcBorders>
              <w:top w:val="single" w:sz="4" w:space="0" w:color="auto"/>
              <w:left w:val="nil"/>
              <w:bottom w:val="nil"/>
              <w:right w:val="nil"/>
            </w:tcBorders>
          </w:tcPr>
          <w:p w:rsidR="00F60B5F" w:rsidRPr="00817FE2" w:rsidRDefault="00F60B5F" w:rsidP="00817FE2">
            <w:pPr>
              <w:pStyle w:val="TableofFigures"/>
              <w:rPr>
                <w:rFonts w:eastAsiaTheme="minorEastAsia"/>
                <w:b/>
                <w:lang w:eastAsia="en-AU"/>
              </w:rPr>
            </w:pP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Taxation</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15</w:t>
            </w:r>
            <w:r w:rsidRPr="00817FE2">
              <w:rPr>
                <w:rFonts w:eastAsiaTheme="minorEastAsia" w:cs="Calibri"/>
                <w:lang w:eastAsia="en-AU"/>
              </w:rPr>
              <w:t xml:space="preserve"> 184.7</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16</w:t>
            </w:r>
            <w:r w:rsidRPr="00817FE2">
              <w:rPr>
                <w:rFonts w:eastAsiaTheme="minorEastAsia" w:cs="Calibri"/>
                <w:lang w:eastAsia="en-AU"/>
              </w:rPr>
              <w:t xml:space="preserve"> 071.6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17</w:t>
            </w:r>
            <w:r w:rsidRPr="00817FE2">
              <w:rPr>
                <w:rFonts w:eastAsiaTheme="minorEastAsia" w:cs="Calibri"/>
                <w:lang w:eastAsia="en-AU"/>
              </w:rPr>
              <w:t xml:space="preserve"> 172.2</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17</w:t>
            </w:r>
            <w:r w:rsidRPr="00817FE2">
              <w:rPr>
                <w:rFonts w:eastAsiaTheme="minorEastAsia" w:cs="Calibri"/>
                <w:lang w:eastAsia="en-AU"/>
              </w:rPr>
              <w:t xml:space="preserve"> 885.6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18</w:t>
            </w:r>
            <w:r w:rsidRPr="00817FE2">
              <w:rPr>
                <w:rFonts w:eastAsiaTheme="minorEastAsia" w:cs="Calibri"/>
                <w:lang w:eastAsia="en-AU"/>
              </w:rPr>
              <w:t xml:space="preserve"> 891.6</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 xml:space="preserve">Interest  </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970.4</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960.6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999.0</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color w:val="000000"/>
                <w:lang w:eastAsia="en-AU"/>
              </w:rPr>
            </w:pPr>
            <w:r w:rsidRPr="00817FE2">
              <w:rPr>
                <w:rFonts w:eastAsiaTheme="minorEastAsia"/>
                <w:lang w:eastAsia="en-AU"/>
              </w:rPr>
              <w:t>1</w:t>
            </w:r>
            <w:r w:rsidRPr="00817FE2">
              <w:rPr>
                <w:rFonts w:eastAsiaTheme="minorEastAsia" w:cs="Calibri"/>
                <w:lang w:eastAsia="en-AU"/>
              </w:rPr>
              <w:t xml:space="preserve"> 057.9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976.1</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 xml:space="preserve">Dividends, TER and interest </w:t>
            </w:r>
            <w:r w:rsidRPr="00817FE2">
              <w:rPr>
                <w:rFonts w:eastAsiaTheme="minorEastAsia"/>
                <w:vertAlign w:val="superscript"/>
                <w:lang w:eastAsia="en-AU"/>
              </w:rPr>
              <w:t>(c)</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610.9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592.3</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630.5</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665.9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706.0</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Sales of goods and services</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12</w:t>
            </w:r>
            <w:r w:rsidRPr="00817FE2">
              <w:rPr>
                <w:rFonts w:eastAsiaTheme="minorEastAsia" w:cs="Calibri"/>
                <w:lang w:eastAsia="en-AU"/>
              </w:rPr>
              <w:t xml:space="preserve"> 896.9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13</w:t>
            </w:r>
            <w:r w:rsidRPr="00817FE2">
              <w:rPr>
                <w:rFonts w:eastAsiaTheme="minorEastAsia" w:cs="Calibri"/>
                <w:lang w:eastAsia="en-AU"/>
              </w:rPr>
              <w:t xml:space="preserve"> 968.1</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14</w:t>
            </w:r>
            <w:r w:rsidRPr="00817FE2">
              <w:rPr>
                <w:rFonts w:eastAsiaTheme="minorEastAsia" w:cs="Calibri"/>
                <w:lang w:eastAsia="en-AU"/>
              </w:rPr>
              <w:t xml:space="preserve"> 219.2</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14</w:t>
            </w:r>
            <w:r w:rsidRPr="00817FE2">
              <w:rPr>
                <w:rFonts w:eastAsiaTheme="minorEastAsia" w:cs="Calibri"/>
                <w:lang w:eastAsia="en-AU"/>
              </w:rPr>
              <w:t xml:space="preserve"> 705.6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14</w:t>
            </w:r>
            <w:r w:rsidRPr="00817FE2">
              <w:rPr>
                <w:rFonts w:eastAsiaTheme="minorEastAsia" w:cs="Calibri"/>
                <w:lang w:eastAsia="en-AU"/>
              </w:rPr>
              <w:t xml:space="preserve"> 965.9</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Grants</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21</w:t>
            </w:r>
            <w:r w:rsidRPr="00817FE2">
              <w:rPr>
                <w:rFonts w:eastAsiaTheme="minorEastAsia" w:cs="Calibri"/>
                <w:lang w:eastAsia="en-AU"/>
              </w:rPr>
              <w:t xml:space="preserve"> 790.4</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23</w:t>
            </w:r>
            <w:r w:rsidRPr="00817FE2">
              <w:rPr>
                <w:rFonts w:eastAsiaTheme="minorEastAsia" w:cs="Calibri"/>
                <w:lang w:eastAsia="en-AU"/>
              </w:rPr>
              <w:t xml:space="preserve"> 134.9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24</w:t>
            </w:r>
            <w:r w:rsidRPr="00817FE2">
              <w:rPr>
                <w:rFonts w:eastAsiaTheme="minorEastAsia" w:cs="Calibri"/>
                <w:lang w:eastAsia="en-AU"/>
              </w:rPr>
              <w:t xml:space="preserve"> 154.6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24</w:t>
            </w:r>
            <w:r w:rsidRPr="00817FE2">
              <w:rPr>
                <w:rFonts w:eastAsiaTheme="minorEastAsia" w:cs="Calibri"/>
                <w:lang w:eastAsia="en-AU"/>
              </w:rPr>
              <w:t xml:space="preserve"> 710.2</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26</w:t>
            </w:r>
            <w:r w:rsidRPr="00817FE2">
              <w:rPr>
                <w:rFonts w:eastAsiaTheme="minorEastAsia" w:cs="Calibri"/>
                <w:lang w:eastAsia="en-AU"/>
              </w:rPr>
              <w:t xml:space="preserve"> 060.4</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Other current revenue</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w:t>
            </w:r>
            <w:r w:rsidRPr="00817FE2">
              <w:rPr>
                <w:rFonts w:eastAsiaTheme="minorEastAsia" w:cs="Calibri"/>
                <w:lang w:eastAsia="en-AU"/>
              </w:rPr>
              <w:t xml:space="preserve"> 749.6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w:t>
            </w:r>
            <w:r w:rsidRPr="00817FE2">
              <w:rPr>
                <w:rFonts w:eastAsiaTheme="minorEastAsia" w:cs="Calibri"/>
                <w:lang w:eastAsia="en-AU"/>
              </w:rPr>
              <w:t xml:space="preserve"> 546.9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w:t>
            </w:r>
            <w:r w:rsidRPr="00817FE2">
              <w:rPr>
                <w:rFonts w:eastAsiaTheme="minorEastAsia" w:cs="Calibri"/>
                <w:lang w:eastAsia="en-AU"/>
              </w:rPr>
              <w:t xml:space="preserve"> 439.6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w:t>
            </w:r>
            <w:r w:rsidRPr="00817FE2">
              <w:rPr>
                <w:rFonts w:eastAsiaTheme="minorEastAsia" w:cs="Calibri"/>
                <w:lang w:eastAsia="en-AU"/>
              </w:rPr>
              <w:t xml:space="preserve"> 517.7</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w:t>
            </w:r>
            <w:r w:rsidRPr="00817FE2">
              <w:rPr>
                <w:rFonts w:eastAsiaTheme="minorEastAsia" w:cs="Calibri"/>
                <w:lang w:eastAsia="en-AU"/>
              </w:rPr>
              <w:t xml:space="preserve"> 563.1</w:t>
            </w:r>
          </w:p>
        </w:tc>
      </w:tr>
      <w:tr w:rsidR="00F60B5F" w:rsidRPr="00817FE2" w:rsidTr="00817FE2">
        <w:trPr>
          <w:cantSplit/>
        </w:trPr>
        <w:tc>
          <w:tcPr>
            <w:tcW w:w="2808" w:type="dxa"/>
            <w:tcBorders>
              <w:top w:val="single" w:sz="6" w:space="0" w:color="auto"/>
              <w:left w:val="nil"/>
              <w:bottom w:val="nil"/>
              <w:right w:val="nil"/>
            </w:tcBorders>
          </w:tcPr>
          <w:p w:rsidR="00F60B5F" w:rsidRPr="00817FE2" w:rsidRDefault="00F60B5F" w:rsidP="00817FE2">
            <w:pPr>
              <w:pStyle w:val="Tabletext"/>
              <w:rPr>
                <w:rFonts w:eastAsiaTheme="minorEastAsia"/>
                <w:b/>
                <w:bCs/>
                <w:lang w:eastAsia="en-AU"/>
              </w:rPr>
            </w:pPr>
            <w:r w:rsidRPr="00817FE2">
              <w:rPr>
                <w:rFonts w:eastAsiaTheme="minorEastAsia"/>
                <w:b/>
                <w:bCs/>
                <w:lang w:eastAsia="en-AU"/>
              </w:rPr>
              <w:t>Total revenue</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bCs/>
                <w:lang w:eastAsia="en-AU"/>
              </w:rPr>
            </w:pPr>
            <w:r w:rsidRPr="00817FE2">
              <w:rPr>
                <w:rFonts w:eastAsiaTheme="minorEastAsia"/>
                <w:b/>
                <w:bCs/>
                <w:lang w:eastAsia="en-AU"/>
              </w:rPr>
              <w:t>54 203.0</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bCs/>
                <w:lang w:eastAsia="en-AU"/>
              </w:rPr>
            </w:pPr>
            <w:r w:rsidRPr="00817FE2">
              <w:rPr>
                <w:rFonts w:eastAsiaTheme="minorEastAsia"/>
                <w:b/>
                <w:bCs/>
                <w:lang w:eastAsia="en-AU"/>
              </w:rPr>
              <w:t>57 274.4</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bCs/>
                <w:lang w:eastAsia="en-AU"/>
              </w:rPr>
            </w:pPr>
            <w:r w:rsidRPr="00817FE2">
              <w:rPr>
                <w:rFonts w:eastAsiaTheme="minorEastAsia"/>
                <w:b/>
                <w:bCs/>
                <w:lang w:eastAsia="en-AU"/>
              </w:rPr>
              <w:t>59 615.1</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bCs/>
                <w:lang w:eastAsia="en-AU"/>
              </w:rPr>
            </w:pPr>
            <w:r w:rsidRPr="00817FE2">
              <w:rPr>
                <w:rFonts w:eastAsiaTheme="minorEastAsia"/>
                <w:b/>
                <w:bCs/>
                <w:lang w:eastAsia="en-AU"/>
              </w:rPr>
              <w:t>61 542.9</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bCs/>
                <w:lang w:eastAsia="en-AU"/>
              </w:rPr>
            </w:pPr>
            <w:r w:rsidRPr="00817FE2">
              <w:rPr>
                <w:rFonts w:eastAsiaTheme="minorEastAsia"/>
                <w:b/>
                <w:bCs/>
                <w:lang w:eastAsia="en-AU"/>
              </w:rPr>
              <w:t>64 163.1</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i/>
                <w:iCs/>
                <w:lang w:eastAsia="en-AU"/>
              </w:rPr>
            </w:pPr>
            <w:r w:rsidRPr="00817FE2">
              <w:rPr>
                <w:rFonts w:eastAsiaTheme="minorEastAsia"/>
                <w:i/>
                <w:iCs/>
                <w:lang w:eastAsia="en-AU"/>
              </w:rPr>
              <w:t>% change</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w:t>
            </w:r>
            <w:r w:rsidRPr="00817FE2">
              <w:rPr>
                <w:rFonts w:eastAsiaTheme="minorEastAsia" w:cs="Calibri"/>
                <w:lang w:eastAsia="en-AU"/>
              </w:rPr>
              <w:t xml:space="preserve"> 0.5)</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5.7</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4.1</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3.2</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4.3</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 xml:space="preserve">   </w:t>
            </w:r>
          </w:p>
        </w:tc>
        <w:tc>
          <w:tcPr>
            <w:tcW w:w="993" w:type="dxa"/>
            <w:tcBorders>
              <w:top w:val="nil"/>
              <w:left w:val="nil"/>
              <w:bottom w:val="nil"/>
              <w:right w:val="nil"/>
            </w:tcBorders>
          </w:tcPr>
          <w:p w:rsidR="00F60B5F" w:rsidRPr="00817FE2" w:rsidRDefault="00F60B5F" w:rsidP="00817FE2">
            <w:pPr>
              <w:pStyle w:val="TableofFigures"/>
              <w:rPr>
                <w:rFonts w:eastAsiaTheme="minorEastAsia"/>
                <w:lang w:eastAsia="en-AU"/>
              </w:rPr>
            </w:pPr>
          </w:p>
        </w:tc>
        <w:tc>
          <w:tcPr>
            <w:tcW w:w="993" w:type="dxa"/>
            <w:tcBorders>
              <w:top w:val="nil"/>
              <w:left w:val="nil"/>
              <w:bottom w:val="nil"/>
              <w:right w:val="nil"/>
            </w:tcBorders>
          </w:tcPr>
          <w:p w:rsidR="00F60B5F" w:rsidRPr="00817FE2" w:rsidRDefault="00F60B5F" w:rsidP="00817FE2">
            <w:pPr>
              <w:pStyle w:val="TableofFigures"/>
              <w:rPr>
                <w:rFonts w:eastAsiaTheme="minorEastAsia"/>
                <w:lang w:eastAsia="en-AU"/>
              </w:rPr>
            </w:pPr>
          </w:p>
        </w:tc>
        <w:tc>
          <w:tcPr>
            <w:tcW w:w="993" w:type="dxa"/>
            <w:tcBorders>
              <w:top w:val="nil"/>
              <w:left w:val="nil"/>
              <w:bottom w:val="nil"/>
              <w:right w:val="nil"/>
            </w:tcBorders>
          </w:tcPr>
          <w:p w:rsidR="00F60B5F" w:rsidRPr="00817FE2" w:rsidRDefault="00F60B5F" w:rsidP="00817FE2">
            <w:pPr>
              <w:pStyle w:val="TableofFigures"/>
              <w:rPr>
                <w:rFonts w:eastAsiaTheme="minorEastAsia"/>
                <w:lang w:eastAsia="en-AU"/>
              </w:rPr>
            </w:pPr>
          </w:p>
        </w:tc>
        <w:tc>
          <w:tcPr>
            <w:tcW w:w="993" w:type="dxa"/>
            <w:tcBorders>
              <w:top w:val="nil"/>
              <w:left w:val="nil"/>
              <w:bottom w:val="nil"/>
              <w:right w:val="nil"/>
            </w:tcBorders>
          </w:tcPr>
          <w:p w:rsidR="00F60B5F" w:rsidRPr="00817FE2" w:rsidRDefault="00F60B5F" w:rsidP="00817FE2">
            <w:pPr>
              <w:pStyle w:val="TableofFigures"/>
              <w:rPr>
                <w:rFonts w:eastAsiaTheme="minorEastAsia"/>
                <w:lang w:eastAsia="en-AU"/>
              </w:rPr>
            </w:pPr>
          </w:p>
        </w:tc>
        <w:tc>
          <w:tcPr>
            <w:tcW w:w="993" w:type="dxa"/>
            <w:tcBorders>
              <w:top w:val="nil"/>
              <w:left w:val="nil"/>
              <w:bottom w:val="nil"/>
              <w:right w:val="nil"/>
            </w:tcBorders>
          </w:tcPr>
          <w:p w:rsidR="00F60B5F" w:rsidRPr="00817FE2" w:rsidRDefault="00F60B5F" w:rsidP="00817FE2">
            <w:pPr>
              <w:pStyle w:val="TableofFigures"/>
              <w:rPr>
                <w:rFonts w:eastAsiaTheme="minorEastAsia"/>
                <w:lang w:eastAsia="en-AU"/>
              </w:rPr>
            </w:pP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b/>
                <w:bCs/>
                <w:lang w:eastAsia="en-AU"/>
              </w:rPr>
            </w:pPr>
            <w:r w:rsidRPr="00817FE2">
              <w:rPr>
                <w:rFonts w:eastAsiaTheme="minorEastAsia"/>
                <w:b/>
                <w:bCs/>
                <w:lang w:eastAsia="en-AU"/>
              </w:rPr>
              <w:t>Expenses</w:t>
            </w:r>
          </w:p>
        </w:tc>
        <w:tc>
          <w:tcPr>
            <w:tcW w:w="993" w:type="dxa"/>
            <w:tcBorders>
              <w:top w:val="nil"/>
              <w:left w:val="nil"/>
              <w:bottom w:val="nil"/>
              <w:right w:val="nil"/>
            </w:tcBorders>
          </w:tcPr>
          <w:p w:rsidR="00F60B5F" w:rsidRPr="00817FE2" w:rsidRDefault="00F60B5F" w:rsidP="00817FE2">
            <w:pPr>
              <w:pStyle w:val="TableofFigures"/>
              <w:rPr>
                <w:rFonts w:eastAsiaTheme="minorEastAsia"/>
                <w:b/>
                <w:lang w:eastAsia="en-AU"/>
              </w:rPr>
            </w:pPr>
          </w:p>
        </w:tc>
        <w:tc>
          <w:tcPr>
            <w:tcW w:w="993" w:type="dxa"/>
            <w:tcBorders>
              <w:top w:val="nil"/>
              <w:left w:val="nil"/>
              <w:bottom w:val="nil"/>
              <w:right w:val="nil"/>
            </w:tcBorders>
          </w:tcPr>
          <w:p w:rsidR="00F60B5F" w:rsidRPr="00817FE2" w:rsidRDefault="00F60B5F" w:rsidP="00817FE2">
            <w:pPr>
              <w:pStyle w:val="TableofFigures"/>
              <w:rPr>
                <w:rFonts w:eastAsiaTheme="minorEastAsia"/>
                <w:b/>
                <w:lang w:eastAsia="en-AU"/>
              </w:rPr>
            </w:pPr>
          </w:p>
        </w:tc>
        <w:tc>
          <w:tcPr>
            <w:tcW w:w="993" w:type="dxa"/>
            <w:tcBorders>
              <w:top w:val="nil"/>
              <w:left w:val="nil"/>
              <w:bottom w:val="nil"/>
              <w:right w:val="nil"/>
            </w:tcBorders>
          </w:tcPr>
          <w:p w:rsidR="00F60B5F" w:rsidRPr="00817FE2" w:rsidRDefault="00F60B5F" w:rsidP="00817FE2">
            <w:pPr>
              <w:pStyle w:val="TableofFigures"/>
              <w:rPr>
                <w:rFonts w:eastAsiaTheme="minorEastAsia"/>
                <w:b/>
                <w:lang w:eastAsia="en-AU"/>
              </w:rPr>
            </w:pPr>
          </w:p>
        </w:tc>
        <w:tc>
          <w:tcPr>
            <w:tcW w:w="993" w:type="dxa"/>
            <w:tcBorders>
              <w:top w:val="nil"/>
              <w:left w:val="nil"/>
              <w:bottom w:val="nil"/>
              <w:right w:val="nil"/>
            </w:tcBorders>
          </w:tcPr>
          <w:p w:rsidR="00F60B5F" w:rsidRPr="00817FE2" w:rsidRDefault="00F60B5F" w:rsidP="00817FE2">
            <w:pPr>
              <w:pStyle w:val="TableofFigures"/>
              <w:rPr>
                <w:rFonts w:eastAsiaTheme="minorEastAsia"/>
                <w:b/>
                <w:lang w:eastAsia="en-AU"/>
              </w:rPr>
            </w:pPr>
          </w:p>
        </w:tc>
        <w:tc>
          <w:tcPr>
            <w:tcW w:w="993" w:type="dxa"/>
            <w:tcBorders>
              <w:top w:val="nil"/>
              <w:left w:val="nil"/>
              <w:bottom w:val="nil"/>
              <w:right w:val="nil"/>
            </w:tcBorders>
          </w:tcPr>
          <w:p w:rsidR="00F60B5F" w:rsidRPr="00817FE2" w:rsidRDefault="00F60B5F" w:rsidP="00817FE2">
            <w:pPr>
              <w:pStyle w:val="TableofFigures"/>
              <w:rPr>
                <w:rFonts w:eastAsiaTheme="minorEastAsia"/>
                <w:b/>
                <w:lang w:eastAsia="en-AU"/>
              </w:rPr>
            </w:pP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Employee expenses</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18</w:t>
            </w:r>
            <w:r w:rsidRPr="00817FE2">
              <w:rPr>
                <w:rFonts w:eastAsiaTheme="minorEastAsia" w:cs="Calibri"/>
                <w:lang w:eastAsia="en-AU"/>
              </w:rPr>
              <w:t xml:space="preserve"> 794.9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18</w:t>
            </w:r>
            <w:r w:rsidRPr="00817FE2">
              <w:rPr>
                <w:rFonts w:eastAsiaTheme="minorEastAsia" w:cs="Calibri"/>
                <w:lang w:eastAsia="en-AU"/>
              </w:rPr>
              <w:t xml:space="preserve"> 812.9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19</w:t>
            </w:r>
            <w:r w:rsidRPr="00817FE2">
              <w:rPr>
                <w:rFonts w:eastAsiaTheme="minorEastAsia" w:cs="Calibri"/>
                <w:lang w:eastAsia="en-AU"/>
              </w:rPr>
              <w:t xml:space="preserve"> 495.3</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20</w:t>
            </w:r>
            <w:r w:rsidRPr="00817FE2">
              <w:rPr>
                <w:rFonts w:eastAsiaTheme="minorEastAsia" w:cs="Calibri"/>
                <w:lang w:eastAsia="en-AU"/>
              </w:rPr>
              <w:t xml:space="preserve"> 238.2</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20</w:t>
            </w:r>
            <w:r w:rsidRPr="00817FE2">
              <w:rPr>
                <w:rFonts w:eastAsiaTheme="minorEastAsia" w:cs="Calibri"/>
                <w:lang w:eastAsia="en-AU"/>
              </w:rPr>
              <w:t xml:space="preserve"> 873.8</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cs="Calibri"/>
                <w:vertAlign w:val="superscript"/>
                <w:lang w:eastAsia="en-AU"/>
              </w:rPr>
            </w:pPr>
            <w:r w:rsidRPr="00817FE2">
              <w:rPr>
                <w:rFonts w:eastAsiaTheme="minorEastAsia"/>
                <w:lang w:eastAsia="en-AU"/>
              </w:rPr>
              <w:t>Superannuation</w:t>
            </w:r>
            <w:r w:rsidRPr="00817FE2">
              <w:rPr>
                <w:rFonts w:eastAsiaTheme="minorEastAsia" w:cs="Calibri"/>
                <w:lang w:eastAsia="en-AU"/>
              </w:rPr>
              <w:t xml:space="preserve"> </w:t>
            </w:r>
            <w:r w:rsidRPr="00817FE2">
              <w:rPr>
                <w:rFonts w:eastAsiaTheme="minorEastAsia" w:cs="Calibri"/>
                <w:vertAlign w:val="superscript"/>
                <w:lang w:eastAsia="en-AU"/>
              </w:rPr>
              <w:t>(d)</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3</w:t>
            </w:r>
            <w:r w:rsidRPr="00817FE2">
              <w:rPr>
                <w:rFonts w:eastAsiaTheme="minorEastAsia" w:cs="Calibri"/>
                <w:lang w:eastAsia="en-AU"/>
              </w:rPr>
              <w:t xml:space="preserve"> 116.9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3</w:t>
            </w:r>
            <w:r w:rsidRPr="00817FE2">
              <w:rPr>
                <w:rFonts w:eastAsiaTheme="minorEastAsia" w:cs="Calibri"/>
                <w:lang w:eastAsia="en-AU"/>
              </w:rPr>
              <w:t xml:space="preserve"> 009.0</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w:t>
            </w:r>
            <w:r w:rsidRPr="00817FE2">
              <w:rPr>
                <w:rFonts w:eastAsiaTheme="minorEastAsia" w:cs="Calibri"/>
                <w:lang w:eastAsia="en-AU"/>
              </w:rPr>
              <w:t xml:space="preserve"> 983.2</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3</w:t>
            </w:r>
            <w:r w:rsidRPr="00817FE2">
              <w:rPr>
                <w:rFonts w:eastAsiaTheme="minorEastAsia" w:cs="Calibri"/>
                <w:lang w:eastAsia="en-AU"/>
              </w:rPr>
              <w:t xml:space="preserve"> 005.4</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3</w:t>
            </w:r>
            <w:r w:rsidRPr="00817FE2">
              <w:rPr>
                <w:rFonts w:eastAsiaTheme="minorEastAsia" w:cs="Calibri"/>
                <w:lang w:eastAsia="en-AU"/>
              </w:rPr>
              <w:t xml:space="preserve"> 009.8</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cs="Calibri"/>
                <w:lang w:eastAsia="en-AU"/>
              </w:rPr>
            </w:pPr>
            <w:r w:rsidRPr="00817FE2">
              <w:rPr>
                <w:rFonts w:eastAsiaTheme="minorEastAsia"/>
                <w:lang w:eastAsia="en-AU"/>
              </w:rPr>
              <w:t>Depreciation</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4</w:t>
            </w:r>
            <w:r w:rsidRPr="00817FE2">
              <w:rPr>
                <w:rFonts w:eastAsiaTheme="minorEastAsia" w:cs="Calibri"/>
                <w:lang w:eastAsia="en-AU"/>
              </w:rPr>
              <w:t xml:space="preserve"> 131.6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4</w:t>
            </w:r>
            <w:r w:rsidRPr="00817FE2">
              <w:rPr>
                <w:rFonts w:eastAsiaTheme="minorEastAsia" w:cs="Calibri"/>
                <w:lang w:eastAsia="en-AU"/>
              </w:rPr>
              <w:t xml:space="preserve"> 368.6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4</w:t>
            </w:r>
            <w:r w:rsidRPr="00817FE2">
              <w:rPr>
                <w:rFonts w:eastAsiaTheme="minorEastAsia" w:cs="Calibri"/>
                <w:lang w:eastAsia="en-AU"/>
              </w:rPr>
              <w:t xml:space="preserve"> 547.4</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4</w:t>
            </w:r>
            <w:r w:rsidRPr="00817FE2">
              <w:rPr>
                <w:rFonts w:eastAsiaTheme="minorEastAsia" w:cs="Calibri"/>
                <w:lang w:eastAsia="en-AU"/>
              </w:rPr>
              <w:t xml:space="preserve"> 817.4</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5</w:t>
            </w:r>
            <w:r w:rsidRPr="00817FE2">
              <w:rPr>
                <w:rFonts w:eastAsiaTheme="minorEastAsia" w:cs="Calibri"/>
                <w:lang w:eastAsia="en-AU"/>
              </w:rPr>
              <w:t xml:space="preserve"> 169.8</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lang w:eastAsia="en-AU"/>
              </w:rPr>
            </w:pPr>
            <w:r w:rsidRPr="00817FE2">
              <w:rPr>
                <w:rFonts w:eastAsiaTheme="minorEastAsia"/>
                <w:lang w:eastAsia="en-AU"/>
              </w:rPr>
              <w:t>Interest expense</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w:t>
            </w:r>
            <w:r w:rsidRPr="00817FE2">
              <w:rPr>
                <w:rFonts w:eastAsiaTheme="minorEastAsia" w:cs="Calibri"/>
                <w:lang w:eastAsia="en-AU"/>
              </w:rPr>
              <w:t xml:space="preserve"> 538.6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w:t>
            </w:r>
            <w:r w:rsidRPr="00817FE2">
              <w:rPr>
                <w:rFonts w:eastAsiaTheme="minorEastAsia" w:cs="Calibri"/>
                <w:lang w:eastAsia="en-AU"/>
              </w:rPr>
              <w:t xml:space="preserve"> 902.9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3</w:t>
            </w:r>
            <w:r w:rsidRPr="00817FE2">
              <w:rPr>
                <w:rFonts w:eastAsiaTheme="minorEastAsia" w:cs="Calibri"/>
                <w:lang w:eastAsia="en-AU"/>
              </w:rPr>
              <w:t xml:space="preserve"> 082.7</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3</w:t>
            </w:r>
            <w:r w:rsidRPr="00817FE2">
              <w:rPr>
                <w:rFonts w:eastAsiaTheme="minorEastAsia" w:cs="Calibri"/>
                <w:lang w:eastAsia="en-AU"/>
              </w:rPr>
              <w:t xml:space="preserve"> 128.9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3</w:t>
            </w:r>
            <w:r w:rsidRPr="00817FE2">
              <w:rPr>
                <w:rFonts w:eastAsiaTheme="minorEastAsia" w:cs="Calibri"/>
                <w:lang w:eastAsia="en-AU"/>
              </w:rPr>
              <w:t xml:space="preserve"> 176.7</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cs="Calibri"/>
                <w:lang w:eastAsia="en-AU"/>
              </w:rPr>
            </w:pPr>
            <w:r w:rsidRPr="00817FE2">
              <w:rPr>
                <w:rFonts w:eastAsiaTheme="minorEastAsia"/>
                <w:lang w:eastAsia="en-AU"/>
              </w:rPr>
              <w:t xml:space="preserve">Other </w:t>
            </w:r>
            <w:r w:rsidRPr="00817FE2">
              <w:rPr>
                <w:rFonts w:eastAsiaTheme="minorEastAsia" w:cs="Calibri"/>
                <w:lang w:eastAsia="en-AU"/>
              </w:rPr>
              <w:t>operating expenses</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23</w:t>
            </w:r>
            <w:r w:rsidRPr="00817FE2">
              <w:rPr>
                <w:rFonts w:eastAsiaTheme="minorEastAsia" w:cs="Calibri"/>
                <w:lang w:eastAsia="en-AU"/>
              </w:rPr>
              <w:t xml:space="preserve"> 342.6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24</w:t>
            </w:r>
            <w:r w:rsidRPr="00817FE2">
              <w:rPr>
                <w:rFonts w:eastAsiaTheme="minorEastAsia" w:cs="Calibri"/>
                <w:lang w:eastAsia="en-AU"/>
              </w:rPr>
              <w:t xml:space="preserve"> 600.4</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24</w:t>
            </w:r>
            <w:r w:rsidRPr="00817FE2">
              <w:rPr>
                <w:rFonts w:eastAsiaTheme="minorEastAsia" w:cs="Calibri"/>
                <w:lang w:eastAsia="en-AU"/>
              </w:rPr>
              <w:t xml:space="preserve"> 787.3</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24</w:t>
            </w:r>
            <w:r w:rsidRPr="00817FE2">
              <w:rPr>
                <w:rFonts w:eastAsiaTheme="minorEastAsia" w:cs="Calibri"/>
                <w:lang w:eastAsia="en-AU"/>
              </w:rPr>
              <w:t xml:space="preserve"> 507.0</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25</w:t>
            </w:r>
            <w:r w:rsidRPr="00817FE2">
              <w:rPr>
                <w:rFonts w:eastAsiaTheme="minorEastAsia" w:cs="Calibri"/>
                <w:lang w:eastAsia="en-AU"/>
              </w:rPr>
              <w:t xml:space="preserve"> 212.4</w:t>
            </w:r>
          </w:p>
        </w:tc>
      </w:tr>
      <w:tr w:rsidR="00F60B5F" w:rsidRPr="00817FE2" w:rsidTr="00817FE2">
        <w:trPr>
          <w:cantSplit/>
        </w:trPr>
        <w:tc>
          <w:tcPr>
            <w:tcW w:w="2808" w:type="dxa"/>
            <w:tcBorders>
              <w:top w:val="nil"/>
              <w:left w:val="nil"/>
              <w:bottom w:val="single" w:sz="6" w:space="0" w:color="auto"/>
              <w:right w:val="nil"/>
            </w:tcBorders>
          </w:tcPr>
          <w:p w:rsidR="00F60B5F" w:rsidRPr="00817FE2" w:rsidRDefault="00F60B5F" w:rsidP="00817FE2">
            <w:pPr>
              <w:pStyle w:val="Tabletext"/>
              <w:rPr>
                <w:rFonts w:eastAsiaTheme="minorEastAsia" w:cs="Calibri"/>
                <w:lang w:eastAsia="en-AU"/>
              </w:rPr>
            </w:pPr>
            <w:r w:rsidRPr="00817FE2">
              <w:rPr>
                <w:rFonts w:eastAsiaTheme="minorEastAsia"/>
                <w:lang w:eastAsia="en-AU"/>
              </w:rPr>
              <w:t xml:space="preserve">Grants and </w:t>
            </w:r>
            <w:r w:rsidRPr="00817FE2">
              <w:rPr>
                <w:rFonts w:eastAsiaTheme="minorEastAsia" w:cs="Calibri"/>
                <w:lang w:eastAsia="en-AU"/>
              </w:rPr>
              <w:t>other transfers</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5</w:t>
            </w:r>
            <w:r w:rsidRPr="00817FE2">
              <w:rPr>
                <w:rFonts w:eastAsiaTheme="minorEastAsia" w:cs="Calibri"/>
                <w:lang w:eastAsia="en-AU"/>
              </w:rPr>
              <w:t xml:space="preserve"> 398.3</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4</w:t>
            </w:r>
            <w:r w:rsidRPr="00817FE2">
              <w:rPr>
                <w:rFonts w:eastAsiaTheme="minorEastAsia" w:cs="Calibri"/>
                <w:lang w:eastAsia="en-AU"/>
              </w:rPr>
              <w:t xml:space="preserve"> 999.2</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5</w:t>
            </w:r>
            <w:r w:rsidRPr="00817FE2">
              <w:rPr>
                <w:rFonts w:eastAsiaTheme="minorEastAsia" w:cs="Calibri"/>
                <w:lang w:eastAsia="en-AU"/>
              </w:rPr>
              <w:t xml:space="preserve"> 366.9</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5</w:t>
            </w:r>
            <w:r w:rsidRPr="00817FE2">
              <w:rPr>
                <w:rFonts w:eastAsiaTheme="minorEastAsia" w:cs="Calibri"/>
                <w:lang w:eastAsia="en-AU"/>
              </w:rPr>
              <w:t xml:space="preserve"> 545.4</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5</w:t>
            </w:r>
            <w:r w:rsidRPr="00817FE2">
              <w:rPr>
                <w:rFonts w:eastAsiaTheme="minorEastAsia" w:cs="Calibri"/>
                <w:lang w:eastAsia="en-AU"/>
              </w:rPr>
              <w:t xml:space="preserve"> 885.5</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b/>
                <w:bCs/>
                <w:lang w:eastAsia="en-AU"/>
              </w:rPr>
            </w:pPr>
            <w:r w:rsidRPr="00817FE2">
              <w:rPr>
                <w:rFonts w:eastAsiaTheme="minorEastAsia"/>
                <w:b/>
                <w:bCs/>
                <w:lang w:eastAsia="en-AU"/>
              </w:rPr>
              <w:t>Total expenses</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57 322.8</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58 693.0</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60 262.8</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61 242.3</w:t>
            </w:r>
          </w:p>
        </w:tc>
        <w:tc>
          <w:tcPr>
            <w:tcW w:w="993" w:type="dxa"/>
            <w:tcBorders>
              <w:top w:val="single" w:sz="6" w:space="0" w:color="auto"/>
              <w:left w:val="nil"/>
              <w:bottom w:val="nil"/>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63 328.1</w:t>
            </w:r>
          </w:p>
        </w:tc>
      </w:tr>
      <w:tr w:rsidR="00F60B5F" w:rsidRPr="00817FE2" w:rsidTr="00817FE2">
        <w:trPr>
          <w:cantSplit/>
        </w:trPr>
        <w:tc>
          <w:tcPr>
            <w:tcW w:w="2808" w:type="dxa"/>
            <w:tcBorders>
              <w:top w:val="nil"/>
              <w:left w:val="nil"/>
              <w:bottom w:val="nil"/>
              <w:right w:val="nil"/>
            </w:tcBorders>
          </w:tcPr>
          <w:p w:rsidR="00F60B5F" w:rsidRPr="00817FE2" w:rsidRDefault="00F60B5F" w:rsidP="00817FE2">
            <w:pPr>
              <w:pStyle w:val="Tabletext"/>
              <w:rPr>
                <w:rFonts w:eastAsiaTheme="minorEastAsia" w:cs="Calibri"/>
                <w:i/>
                <w:iCs/>
                <w:color w:val="000000"/>
                <w:vertAlign w:val="superscript"/>
                <w:lang w:eastAsia="en-AU"/>
              </w:rPr>
            </w:pPr>
            <w:r w:rsidRPr="00817FE2">
              <w:rPr>
                <w:rFonts w:eastAsiaTheme="minorEastAsia"/>
                <w:i/>
                <w:iCs/>
                <w:lang w:eastAsia="en-AU"/>
              </w:rPr>
              <w:t xml:space="preserve">% change </w:t>
            </w:r>
            <w:r w:rsidRPr="00817FE2">
              <w:rPr>
                <w:rFonts w:eastAsiaTheme="minorEastAsia"/>
                <w:i/>
                <w:iCs/>
                <w:vertAlign w:val="superscript"/>
                <w:lang w:eastAsia="en-AU"/>
              </w:rPr>
              <w:t>(</w:t>
            </w:r>
            <w:r w:rsidRPr="00817FE2">
              <w:rPr>
                <w:rFonts w:eastAsiaTheme="minorEastAsia" w:cs="Calibri"/>
                <w:i/>
                <w:iCs/>
                <w:color w:val="000000"/>
                <w:vertAlign w:val="superscript"/>
                <w:lang w:eastAsia="en-AU"/>
              </w:rPr>
              <w:t>e)</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1.8</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2.4</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2.7</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1.6</w:t>
            </w:r>
          </w:p>
        </w:tc>
        <w:tc>
          <w:tcPr>
            <w:tcW w:w="993" w:type="dxa"/>
            <w:tcBorders>
              <w:top w:val="nil"/>
              <w:left w:val="nil"/>
              <w:bottom w:val="nil"/>
              <w:right w:val="nil"/>
            </w:tcBorders>
          </w:tcPr>
          <w:p w:rsidR="00F60B5F" w:rsidRPr="00817FE2" w:rsidRDefault="00F60B5F" w:rsidP="00817FE2">
            <w:pPr>
              <w:pStyle w:val="TableofFigures"/>
              <w:rPr>
                <w:rFonts w:eastAsiaTheme="minorEastAsia" w:cs="Calibri"/>
                <w:lang w:eastAsia="en-AU"/>
              </w:rPr>
            </w:pPr>
            <w:r w:rsidRPr="00817FE2">
              <w:rPr>
                <w:rFonts w:eastAsiaTheme="minorEastAsia"/>
                <w:lang w:eastAsia="en-AU"/>
              </w:rPr>
              <w:t xml:space="preserve"> </w:t>
            </w:r>
            <w:r w:rsidRPr="00817FE2">
              <w:rPr>
                <w:rFonts w:eastAsiaTheme="minorEastAsia" w:cs="Calibri"/>
                <w:lang w:eastAsia="en-AU"/>
              </w:rPr>
              <w:t>3.4</w:t>
            </w:r>
          </w:p>
        </w:tc>
      </w:tr>
      <w:tr w:rsidR="00F60B5F" w:rsidRPr="00817FE2" w:rsidTr="00817FE2">
        <w:trPr>
          <w:cantSplit/>
        </w:trPr>
        <w:tc>
          <w:tcPr>
            <w:tcW w:w="2808" w:type="dxa"/>
            <w:tcBorders>
              <w:top w:val="single" w:sz="6" w:space="0" w:color="auto"/>
              <w:left w:val="nil"/>
              <w:bottom w:val="single" w:sz="6" w:space="0" w:color="auto"/>
              <w:right w:val="nil"/>
            </w:tcBorders>
          </w:tcPr>
          <w:p w:rsidR="00F60B5F" w:rsidRPr="00817FE2" w:rsidRDefault="00F60B5F" w:rsidP="00817FE2">
            <w:pPr>
              <w:pStyle w:val="Tabletext"/>
              <w:rPr>
                <w:rFonts w:eastAsiaTheme="minorEastAsia" w:cs="Calibri"/>
                <w:b/>
                <w:bCs/>
                <w:lang w:eastAsia="en-AU"/>
              </w:rPr>
            </w:pPr>
            <w:r w:rsidRPr="00817FE2">
              <w:rPr>
                <w:rFonts w:eastAsiaTheme="minorEastAsia"/>
                <w:b/>
                <w:bCs/>
                <w:lang w:eastAsia="en-AU"/>
              </w:rPr>
              <w:t xml:space="preserve">Net result </w:t>
            </w:r>
            <w:r w:rsidRPr="00817FE2">
              <w:rPr>
                <w:rFonts w:eastAsiaTheme="minorEastAsia" w:cs="Calibri"/>
                <w:b/>
                <w:bCs/>
                <w:lang w:eastAsia="en-AU"/>
              </w:rPr>
              <w:t>from transactions</w:t>
            </w:r>
          </w:p>
        </w:tc>
        <w:tc>
          <w:tcPr>
            <w:tcW w:w="993" w:type="dxa"/>
            <w:tcBorders>
              <w:top w:val="single" w:sz="6" w:space="0" w:color="auto"/>
              <w:left w:val="nil"/>
              <w:bottom w:val="single" w:sz="6" w:space="0" w:color="auto"/>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 xml:space="preserve">(3 </w:t>
            </w:r>
            <w:r w:rsidRPr="00817FE2">
              <w:rPr>
                <w:rFonts w:eastAsiaTheme="minorEastAsia" w:cs="Calibri"/>
                <w:b/>
                <w:bCs/>
                <w:lang w:eastAsia="en-AU"/>
              </w:rPr>
              <w:t>119.8</w:t>
            </w:r>
            <w:r w:rsidRPr="00817FE2">
              <w:rPr>
                <w:rFonts w:eastAsiaTheme="minorEastAsia" w:cs="Calibri"/>
                <w:b/>
                <w:lang w:eastAsia="en-AU"/>
              </w:rPr>
              <w:t>)</w:t>
            </w:r>
          </w:p>
        </w:tc>
        <w:tc>
          <w:tcPr>
            <w:tcW w:w="993" w:type="dxa"/>
            <w:tcBorders>
              <w:top w:val="single" w:sz="6" w:space="0" w:color="auto"/>
              <w:left w:val="nil"/>
              <w:bottom w:val="single" w:sz="6" w:space="0" w:color="auto"/>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 xml:space="preserve">(1 </w:t>
            </w:r>
            <w:r w:rsidRPr="00817FE2">
              <w:rPr>
                <w:rFonts w:eastAsiaTheme="minorEastAsia" w:cs="Calibri"/>
                <w:b/>
                <w:bCs/>
                <w:lang w:eastAsia="en-AU"/>
              </w:rPr>
              <w:t>418.6</w:t>
            </w:r>
            <w:r w:rsidRPr="00817FE2">
              <w:rPr>
                <w:rFonts w:eastAsiaTheme="minorEastAsia" w:cs="Calibri"/>
                <w:b/>
                <w:lang w:eastAsia="en-AU"/>
              </w:rPr>
              <w:t>)</w:t>
            </w:r>
          </w:p>
        </w:tc>
        <w:tc>
          <w:tcPr>
            <w:tcW w:w="993" w:type="dxa"/>
            <w:tcBorders>
              <w:top w:val="single" w:sz="6" w:space="0" w:color="auto"/>
              <w:left w:val="nil"/>
              <w:bottom w:val="single" w:sz="6" w:space="0" w:color="auto"/>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( 647.7</w:t>
            </w:r>
            <w:r w:rsidRPr="00817FE2">
              <w:rPr>
                <w:rFonts w:eastAsiaTheme="minorEastAsia" w:cs="Calibri"/>
                <w:b/>
                <w:bCs/>
                <w:lang w:eastAsia="en-AU"/>
              </w:rPr>
              <w:t>)</w:t>
            </w:r>
          </w:p>
        </w:tc>
        <w:tc>
          <w:tcPr>
            <w:tcW w:w="993" w:type="dxa"/>
            <w:tcBorders>
              <w:top w:val="single" w:sz="6" w:space="0" w:color="auto"/>
              <w:left w:val="nil"/>
              <w:bottom w:val="single" w:sz="6" w:space="0" w:color="auto"/>
              <w:right w:val="nil"/>
            </w:tcBorders>
          </w:tcPr>
          <w:p w:rsidR="00F60B5F" w:rsidRPr="00817FE2" w:rsidRDefault="00F60B5F" w:rsidP="00817FE2">
            <w:pPr>
              <w:pStyle w:val="TableofFigures"/>
              <w:rPr>
                <w:rFonts w:eastAsiaTheme="minorEastAsia"/>
                <w:b/>
                <w:bCs/>
                <w:lang w:eastAsia="en-AU"/>
              </w:rPr>
            </w:pPr>
            <w:r w:rsidRPr="00817FE2">
              <w:rPr>
                <w:rFonts w:eastAsiaTheme="minorEastAsia"/>
                <w:b/>
                <w:bCs/>
                <w:lang w:eastAsia="en-AU"/>
              </w:rPr>
              <w:t xml:space="preserve"> 300.6</w:t>
            </w:r>
          </w:p>
        </w:tc>
        <w:tc>
          <w:tcPr>
            <w:tcW w:w="993" w:type="dxa"/>
            <w:tcBorders>
              <w:top w:val="single" w:sz="6" w:space="0" w:color="auto"/>
              <w:left w:val="nil"/>
              <w:bottom w:val="single" w:sz="6" w:space="0" w:color="auto"/>
              <w:right w:val="nil"/>
            </w:tcBorders>
          </w:tcPr>
          <w:p w:rsidR="00F60B5F" w:rsidRPr="00817FE2" w:rsidRDefault="00F60B5F" w:rsidP="00817FE2">
            <w:pPr>
              <w:pStyle w:val="TableofFigures"/>
              <w:rPr>
                <w:rFonts w:eastAsiaTheme="minorEastAsia"/>
                <w:b/>
                <w:bCs/>
                <w:lang w:eastAsia="en-AU"/>
              </w:rPr>
            </w:pPr>
            <w:r w:rsidRPr="00817FE2">
              <w:rPr>
                <w:rFonts w:eastAsiaTheme="minorEastAsia"/>
                <w:b/>
                <w:bCs/>
                <w:lang w:eastAsia="en-AU"/>
              </w:rPr>
              <w:t xml:space="preserve"> 834.9</w:t>
            </w:r>
          </w:p>
        </w:tc>
      </w:tr>
      <w:tr w:rsidR="00F60B5F" w:rsidRPr="00817FE2" w:rsidTr="00817FE2">
        <w:trPr>
          <w:cantSplit/>
        </w:trPr>
        <w:tc>
          <w:tcPr>
            <w:tcW w:w="2808" w:type="dxa"/>
            <w:tcBorders>
              <w:top w:val="single" w:sz="6" w:space="0" w:color="auto"/>
              <w:left w:val="nil"/>
              <w:bottom w:val="single" w:sz="6" w:space="0" w:color="auto"/>
              <w:right w:val="nil"/>
            </w:tcBorders>
          </w:tcPr>
          <w:p w:rsidR="00F60B5F" w:rsidRPr="00817FE2" w:rsidRDefault="00F60B5F" w:rsidP="00817FE2">
            <w:pPr>
              <w:pStyle w:val="Tabletext"/>
              <w:rPr>
                <w:rFonts w:eastAsiaTheme="minorEastAsia" w:cs="Calibri"/>
                <w:b/>
                <w:bCs/>
                <w:lang w:eastAsia="en-AU"/>
              </w:rPr>
            </w:pPr>
            <w:r w:rsidRPr="00817FE2">
              <w:rPr>
                <w:rFonts w:eastAsiaTheme="minorEastAsia"/>
                <w:b/>
                <w:bCs/>
                <w:lang w:eastAsia="en-AU"/>
              </w:rPr>
              <w:t xml:space="preserve">Total other economic flows </w:t>
            </w:r>
            <w:r w:rsidRPr="00817FE2">
              <w:rPr>
                <w:rFonts w:eastAsiaTheme="minorEastAsia" w:cs="Calibri"/>
                <w:b/>
                <w:bCs/>
                <w:lang w:eastAsia="en-AU"/>
              </w:rPr>
              <w:t>included in net result</w:t>
            </w:r>
          </w:p>
        </w:tc>
        <w:tc>
          <w:tcPr>
            <w:tcW w:w="993" w:type="dxa"/>
            <w:tcBorders>
              <w:top w:val="nil"/>
              <w:left w:val="nil"/>
              <w:bottom w:val="single" w:sz="6" w:space="0" w:color="auto"/>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lang w:eastAsia="en-AU"/>
              </w:rPr>
              <w:t>4 655.8</w:t>
            </w:r>
          </w:p>
        </w:tc>
        <w:tc>
          <w:tcPr>
            <w:tcW w:w="993" w:type="dxa"/>
            <w:tcBorders>
              <w:top w:val="nil"/>
              <w:left w:val="nil"/>
              <w:bottom w:val="single" w:sz="6" w:space="0" w:color="auto"/>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lang w:eastAsia="en-AU"/>
              </w:rPr>
              <w:t>1 345.1</w:t>
            </w:r>
          </w:p>
        </w:tc>
        <w:tc>
          <w:tcPr>
            <w:tcW w:w="993" w:type="dxa"/>
            <w:tcBorders>
              <w:top w:val="nil"/>
              <w:left w:val="nil"/>
              <w:bottom w:val="single" w:sz="6" w:space="0" w:color="auto"/>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lang w:eastAsia="en-AU"/>
              </w:rPr>
              <w:t>1 296.9</w:t>
            </w:r>
          </w:p>
        </w:tc>
        <w:tc>
          <w:tcPr>
            <w:tcW w:w="993" w:type="dxa"/>
            <w:tcBorders>
              <w:top w:val="nil"/>
              <w:left w:val="nil"/>
              <w:bottom w:val="single" w:sz="6" w:space="0" w:color="auto"/>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lang w:eastAsia="en-AU"/>
              </w:rPr>
              <w:t>1 334.3</w:t>
            </w:r>
          </w:p>
        </w:tc>
        <w:tc>
          <w:tcPr>
            <w:tcW w:w="993" w:type="dxa"/>
            <w:tcBorders>
              <w:top w:val="nil"/>
              <w:left w:val="nil"/>
              <w:bottom w:val="single" w:sz="6" w:space="0" w:color="auto"/>
              <w:right w:val="nil"/>
            </w:tcBorders>
          </w:tcPr>
          <w:p w:rsidR="00F60B5F" w:rsidRPr="00817FE2" w:rsidRDefault="00F60B5F" w:rsidP="00817FE2">
            <w:pPr>
              <w:pStyle w:val="TableofFigures"/>
              <w:rPr>
                <w:rFonts w:eastAsiaTheme="minorEastAsia" w:cs="Calibri"/>
                <w:b/>
                <w:lang w:eastAsia="en-AU"/>
              </w:rPr>
            </w:pPr>
            <w:r w:rsidRPr="00817FE2">
              <w:rPr>
                <w:rFonts w:eastAsiaTheme="minorEastAsia"/>
                <w:b/>
                <w:lang w:eastAsia="en-AU"/>
              </w:rPr>
              <w:t>1 422.1</w:t>
            </w:r>
          </w:p>
        </w:tc>
      </w:tr>
      <w:tr w:rsidR="00F60B5F" w:rsidRPr="00817FE2" w:rsidTr="00817FE2">
        <w:trPr>
          <w:cantSplit/>
        </w:trPr>
        <w:tc>
          <w:tcPr>
            <w:tcW w:w="2808" w:type="dxa"/>
            <w:tcBorders>
              <w:top w:val="single" w:sz="6" w:space="0" w:color="auto"/>
              <w:left w:val="nil"/>
              <w:bottom w:val="single" w:sz="12" w:space="0" w:color="000000"/>
              <w:right w:val="nil"/>
            </w:tcBorders>
            <w:shd w:val="clear" w:color="auto" w:fill="auto"/>
          </w:tcPr>
          <w:p w:rsidR="00F60B5F" w:rsidRPr="00817FE2" w:rsidRDefault="00F60B5F" w:rsidP="00817FE2">
            <w:pPr>
              <w:pStyle w:val="Tabletext"/>
              <w:rPr>
                <w:rFonts w:eastAsiaTheme="minorEastAsia"/>
                <w:b/>
                <w:bCs/>
                <w:lang w:eastAsia="en-AU"/>
              </w:rPr>
            </w:pPr>
            <w:r w:rsidRPr="00817FE2">
              <w:rPr>
                <w:rFonts w:eastAsiaTheme="minorEastAsia"/>
                <w:b/>
                <w:bCs/>
                <w:lang w:eastAsia="en-AU"/>
              </w:rPr>
              <w:t>Net result</w:t>
            </w:r>
          </w:p>
        </w:tc>
        <w:tc>
          <w:tcPr>
            <w:tcW w:w="993" w:type="dxa"/>
            <w:tcBorders>
              <w:top w:val="single" w:sz="6" w:space="0" w:color="auto"/>
              <w:left w:val="nil"/>
              <w:bottom w:val="single" w:sz="12" w:space="0" w:color="000000"/>
              <w:right w:val="nil"/>
            </w:tcBorders>
            <w:shd w:val="clear" w:color="auto" w:fill="auto"/>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1 536.0</w:t>
            </w:r>
          </w:p>
        </w:tc>
        <w:tc>
          <w:tcPr>
            <w:tcW w:w="993" w:type="dxa"/>
            <w:tcBorders>
              <w:top w:val="single" w:sz="6" w:space="0" w:color="auto"/>
              <w:left w:val="nil"/>
              <w:bottom w:val="single" w:sz="12" w:space="0" w:color="000000"/>
              <w:right w:val="nil"/>
            </w:tcBorders>
            <w:shd w:val="clear" w:color="auto" w:fill="auto"/>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( 73.4</w:t>
            </w:r>
            <w:r w:rsidRPr="00817FE2">
              <w:rPr>
                <w:rFonts w:eastAsiaTheme="minorEastAsia" w:cs="Calibri"/>
                <w:b/>
                <w:lang w:eastAsia="en-AU"/>
              </w:rPr>
              <w:t>)</w:t>
            </w:r>
          </w:p>
        </w:tc>
        <w:tc>
          <w:tcPr>
            <w:tcW w:w="993" w:type="dxa"/>
            <w:tcBorders>
              <w:top w:val="single" w:sz="6" w:space="0" w:color="auto"/>
              <w:left w:val="nil"/>
              <w:bottom w:val="single" w:sz="12" w:space="0" w:color="000000"/>
              <w:right w:val="nil"/>
            </w:tcBorders>
            <w:shd w:val="clear" w:color="auto" w:fill="auto"/>
          </w:tcPr>
          <w:p w:rsidR="00F60B5F" w:rsidRPr="00817FE2" w:rsidRDefault="00F60B5F" w:rsidP="00817FE2">
            <w:pPr>
              <w:pStyle w:val="TableofFigures"/>
              <w:rPr>
                <w:rFonts w:eastAsiaTheme="minorEastAsia"/>
                <w:b/>
                <w:bCs/>
                <w:lang w:eastAsia="en-AU"/>
              </w:rPr>
            </w:pPr>
            <w:r w:rsidRPr="00817FE2">
              <w:rPr>
                <w:rFonts w:eastAsiaTheme="minorEastAsia"/>
                <w:b/>
                <w:bCs/>
                <w:lang w:eastAsia="en-AU"/>
              </w:rPr>
              <w:t xml:space="preserve"> 649.2</w:t>
            </w:r>
          </w:p>
        </w:tc>
        <w:tc>
          <w:tcPr>
            <w:tcW w:w="993" w:type="dxa"/>
            <w:tcBorders>
              <w:top w:val="single" w:sz="6" w:space="0" w:color="auto"/>
              <w:left w:val="nil"/>
              <w:bottom w:val="single" w:sz="12" w:space="0" w:color="000000"/>
              <w:right w:val="nil"/>
            </w:tcBorders>
            <w:shd w:val="clear" w:color="auto" w:fill="auto"/>
          </w:tcPr>
          <w:p w:rsidR="00F60B5F" w:rsidRPr="00817FE2" w:rsidRDefault="00F60B5F" w:rsidP="00817FE2">
            <w:pPr>
              <w:pStyle w:val="TableofFigures"/>
              <w:rPr>
                <w:rFonts w:eastAsiaTheme="minorEastAsia" w:cs="Calibri"/>
                <w:color w:val="000000"/>
                <w:lang w:eastAsia="en-AU"/>
              </w:rPr>
            </w:pPr>
            <w:r w:rsidRPr="00817FE2">
              <w:rPr>
                <w:rFonts w:eastAsiaTheme="minorEastAsia"/>
                <w:b/>
                <w:bCs/>
                <w:lang w:eastAsia="en-AU"/>
              </w:rPr>
              <w:t>1 634.8</w:t>
            </w:r>
          </w:p>
        </w:tc>
        <w:tc>
          <w:tcPr>
            <w:tcW w:w="993" w:type="dxa"/>
            <w:tcBorders>
              <w:top w:val="single" w:sz="6" w:space="0" w:color="auto"/>
              <w:left w:val="nil"/>
              <w:bottom w:val="single" w:sz="12" w:space="0" w:color="000000"/>
              <w:right w:val="nil"/>
            </w:tcBorders>
            <w:shd w:val="clear" w:color="auto" w:fill="auto"/>
          </w:tcPr>
          <w:p w:rsidR="00F60B5F" w:rsidRPr="00817FE2" w:rsidRDefault="00F60B5F" w:rsidP="00817FE2">
            <w:pPr>
              <w:pStyle w:val="TableofFigures"/>
              <w:rPr>
                <w:rFonts w:eastAsiaTheme="minorEastAsia" w:cs="Calibri"/>
                <w:b/>
                <w:lang w:eastAsia="en-AU"/>
              </w:rPr>
            </w:pPr>
            <w:r w:rsidRPr="00817FE2">
              <w:rPr>
                <w:rFonts w:eastAsiaTheme="minorEastAsia"/>
                <w:b/>
                <w:bCs/>
                <w:lang w:eastAsia="en-AU"/>
              </w:rPr>
              <w:t>2 257.0</w:t>
            </w:r>
          </w:p>
        </w:tc>
      </w:tr>
    </w:tbl>
    <w:p w:rsidR="00F60B5F" w:rsidRDefault="00F60B5F" w:rsidP="00400166">
      <w:pPr>
        <w:pStyle w:val="Source"/>
      </w:pPr>
      <w:r w:rsidRPr="00FC2E66">
        <w:t>Source: Department of Treasury and Finance</w:t>
      </w:r>
    </w:p>
    <w:p w:rsidR="00F60B5F" w:rsidRPr="00991B03" w:rsidRDefault="00F60B5F" w:rsidP="00991B03">
      <w:pPr>
        <w:pStyle w:val="Notes"/>
      </w:pPr>
      <w:r w:rsidRPr="00991B03">
        <w:t>Notes:</w:t>
      </w:r>
    </w:p>
    <w:p w:rsidR="00F60B5F" w:rsidRDefault="00F60B5F" w:rsidP="00E77A45">
      <w:pPr>
        <w:pStyle w:val="Notes"/>
        <w:rPr>
          <w:i w:val="0"/>
        </w:rPr>
      </w:pPr>
      <w:r w:rsidRPr="00991B03">
        <w:t xml:space="preserve">(a) </w:t>
      </w:r>
      <w:r>
        <w:tab/>
      </w:r>
      <w:r w:rsidRPr="00991B03">
        <w:t xml:space="preserve">This is a summary operating statement. </w:t>
      </w:r>
      <w:r>
        <w:t xml:space="preserve">The comprehensive operating statement is presented in Chapter 6 </w:t>
      </w:r>
      <w:r w:rsidRPr="00D64263">
        <w:rPr>
          <w:i w:val="0"/>
        </w:rPr>
        <w:t>Supplementary uniform presentation framework tables</w:t>
      </w:r>
      <w:r>
        <w:t>.</w:t>
      </w:r>
    </w:p>
    <w:p w:rsidR="00F60B5F" w:rsidRDefault="00F60B5F" w:rsidP="00E77A45">
      <w:pPr>
        <w:pStyle w:val="Notes"/>
      </w:pPr>
      <w:r>
        <w:t>(b)</w:t>
      </w:r>
      <w:r>
        <w:tab/>
      </w:r>
      <w:r w:rsidRPr="003F0A3D">
        <w:t>The 2012</w:t>
      </w:r>
      <w:r>
        <w:noBreakHyphen/>
      </w:r>
      <w:r w:rsidRPr="003F0A3D">
        <w:t xml:space="preserve">13 actual comparative figures have been restated to reflect a revised accounting standard, AASB 119 </w:t>
      </w:r>
      <w:r w:rsidRPr="00F96481">
        <w:rPr>
          <w:i w:val="0"/>
        </w:rPr>
        <w:t>Employee Benefits</w:t>
      </w:r>
      <w:r w:rsidRPr="003F0A3D">
        <w:t>, which has been issued changing the way defined benefit superannuation expenses are calculated from 2013</w:t>
      </w:r>
      <w:r>
        <w:noBreakHyphen/>
      </w:r>
      <w:r w:rsidRPr="003F0A3D">
        <w:t>14.</w:t>
      </w:r>
    </w:p>
    <w:p w:rsidR="00F60B5F" w:rsidRPr="00991B03" w:rsidRDefault="00F60B5F" w:rsidP="00991B03">
      <w:pPr>
        <w:pStyle w:val="Notes"/>
      </w:pPr>
      <w:r>
        <w:t>(c)</w:t>
      </w:r>
      <w:r>
        <w:tab/>
      </w:r>
      <w:r w:rsidRPr="00991B03">
        <w:t>Comprises dividends, income tax and rate equivalent revenue and interest.</w:t>
      </w:r>
    </w:p>
    <w:p w:rsidR="00F60B5F" w:rsidRDefault="00F60B5F" w:rsidP="00991B03">
      <w:pPr>
        <w:pStyle w:val="Notes"/>
      </w:pPr>
      <w:r>
        <w:t>(d)</w:t>
      </w:r>
      <w:r>
        <w:tab/>
      </w:r>
      <w:r w:rsidRPr="00991B03">
        <w:t>Comprises superannuation interest expense and other superannuation expenses.</w:t>
      </w:r>
    </w:p>
    <w:p w:rsidR="00F60B5F" w:rsidRPr="00991B03" w:rsidRDefault="00F60B5F" w:rsidP="00991B03">
      <w:pPr>
        <w:pStyle w:val="Notes"/>
      </w:pPr>
      <w:r>
        <w:t>(e)</w:t>
      </w:r>
      <w:r>
        <w:tab/>
        <w:t>The expense growth rate for 2012</w:t>
      </w:r>
      <w:r>
        <w:noBreakHyphen/>
        <w:t xml:space="preserve">13 is based on published numbers as per </w:t>
      </w:r>
      <w:r w:rsidRPr="00817FE2">
        <w:rPr>
          <w:i w:val="0"/>
        </w:rPr>
        <w:t>2012</w:t>
      </w:r>
      <w:r>
        <w:rPr>
          <w:i w:val="0"/>
        </w:rPr>
        <w:noBreakHyphen/>
      </w:r>
      <w:r w:rsidRPr="00817FE2">
        <w:rPr>
          <w:i w:val="0"/>
        </w:rPr>
        <w:t>13 Financial Report</w:t>
      </w:r>
      <w:r>
        <w:t>.</w:t>
      </w:r>
    </w:p>
    <w:p w:rsidR="00F60B5F" w:rsidRDefault="00F60B5F" w:rsidP="00400166">
      <w:pPr>
        <w:pStyle w:val="Notes"/>
      </w:pPr>
    </w:p>
    <w:p w:rsidR="00F60B5F" w:rsidRDefault="00F60B5F">
      <w:pPr>
        <w:spacing w:after="0"/>
      </w:pPr>
      <w:r>
        <w:br w:type="page"/>
      </w:r>
    </w:p>
    <w:p w:rsidR="00F60B5F" w:rsidRDefault="00F60B5F" w:rsidP="005C48A3">
      <w:r w:rsidRPr="00FC2E66">
        <w:t xml:space="preserve">The State of Victoria is </w:t>
      </w:r>
      <w:r>
        <w:t>projected to record $73 million deficit in 2013</w:t>
      </w:r>
      <w:r>
        <w:noBreakHyphen/>
        <w:t>14, increasing to a surplus of $2.3 billion by 2016</w:t>
      </w:r>
      <w:r>
        <w:noBreakHyphen/>
        <w:t xml:space="preserve">17. </w:t>
      </w:r>
      <w:r w:rsidRPr="00FC2E66">
        <w:t>This is significantly stronger than projected at</w:t>
      </w:r>
      <w:r>
        <w:t xml:space="preserve"> the time of the</w:t>
      </w:r>
      <w:r w:rsidRPr="00FC2E66">
        <w:t xml:space="preserve"> </w:t>
      </w:r>
      <w:r w:rsidRPr="00FC2E66">
        <w:rPr>
          <w:i/>
        </w:rPr>
        <w:t>2013</w:t>
      </w:r>
      <w:r>
        <w:rPr>
          <w:i/>
        </w:rPr>
        <w:noBreakHyphen/>
      </w:r>
      <w:r w:rsidRPr="00FC2E66">
        <w:rPr>
          <w:i/>
        </w:rPr>
        <w:t>14 Budget</w:t>
      </w:r>
      <w:r w:rsidRPr="00FC2E66">
        <w:t>, and includes significant improvement in the PFC sector arising from lower claims costs</w:t>
      </w:r>
      <w:r>
        <w:t xml:space="preserve">. </w:t>
      </w:r>
    </w:p>
    <w:p w:rsidR="00F60B5F" w:rsidRDefault="00F60B5F" w:rsidP="009266C7">
      <w:r w:rsidRPr="00FC2E66">
        <w:t>The PFC sector is forecast to record an average net result of $602</w:t>
      </w:r>
      <w:r>
        <w:t> million surplus</w:t>
      </w:r>
      <w:r w:rsidRPr="00FC2E66">
        <w:t xml:space="preserve"> a year over the budget and forward estimates period. This includes significant gains from other economic flows averaging $1.4</w:t>
      </w:r>
      <w:r>
        <w:t> billion</w:t>
      </w:r>
      <w:r w:rsidRPr="00FC2E66">
        <w:t xml:space="preserve"> a year. This is largely driven by investment returns which are forecast to grow in line with longer</w:t>
      </w:r>
      <w:r>
        <w:t xml:space="preserve"> </w:t>
      </w:r>
      <w:r w:rsidRPr="00FC2E66">
        <w:t>term trends.</w:t>
      </w:r>
    </w:p>
    <w:p w:rsidR="00F60B5F" w:rsidRPr="00FC2E66" w:rsidRDefault="00F60B5F" w:rsidP="009266C7">
      <w:r w:rsidRPr="00FC2E66">
        <w:t>As the nature of the PFC sector’s core business includes investment activities, the net result is considered a more meaningful measure of the expected operating position of this sector</w:t>
      </w:r>
      <w:r>
        <w:t xml:space="preserve"> and the State</w:t>
      </w:r>
      <w:r w:rsidRPr="00FC2E66">
        <w:t>. Gains from other economic flows include income derived from the PFC sector’s investment assets. This investment income is a core revenue source for the sector as it is used to fund emerging liabilities of government insurance entities over time. Other economic flows also include valuation gains on revaluation of financial liabilities, which primarily result from movements in bond rates used to value these liabilities.</w:t>
      </w:r>
    </w:p>
    <w:p w:rsidR="00F60B5F" w:rsidRDefault="00F60B5F" w:rsidP="005C48A3">
      <w:r w:rsidRPr="00FC2E66">
        <w:t>The</w:t>
      </w:r>
      <w:r>
        <w:t xml:space="preserve"> PFC</w:t>
      </w:r>
      <w:r w:rsidRPr="00FC2E66">
        <w:t xml:space="preserve"> </w:t>
      </w:r>
      <w:r>
        <w:t xml:space="preserve">sector </w:t>
      </w:r>
      <w:r w:rsidRPr="00FC2E66">
        <w:t xml:space="preserve">results are </w:t>
      </w:r>
      <w:r>
        <w:t xml:space="preserve">largely due to the </w:t>
      </w:r>
      <w:r w:rsidRPr="00FC2E66">
        <w:t xml:space="preserve">performance of the two largest entities, the Victorian WorkCover Authority (VWA) and the Transport Accident Commission. In particular, the VWA is projected to </w:t>
      </w:r>
      <w:r>
        <w:t>perform significantly</w:t>
      </w:r>
      <w:r w:rsidRPr="00FC2E66">
        <w:t xml:space="preserve"> stronger than </w:t>
      </w:r>
      <w:r>
        <w:t>the projections</w:t>
      </w:r>
      <w:r w:rsidRPr="00FC2E66">
        <w:t xml:space="preserve"> in </w:t>
      </w:r>
      <w:r w:rsidRPr="00FC2E66">
        <w:rPr>
          <w:i/>
        </w:rPr>
        <w:t>Budget 2013</w:t>
      </w:r>
      <w:r>
        <w:rPr>
          <w:i/>
        </w:rPr>
        <w:noBreakHyphen/>
      </w:r>
      <w:r w:rsidRPr="00FC2E66">
        <w:rPr>
          <w:i/>
        </w:rPr>
        <w:t>14</w:t>
      </w:r>
      <w:r w:rsidRPr="00FC2E66">
        <w:t xml:space="preserve">, due to reduced claims costs </w:t>
      </w:r>
      <w:r>
        <w:t xml:space="preserve">arising from </w:t>
      </w:r>
      <w:r w:rsidRPr="00FC2E66">
        <w:t xml:space="preserve">revised actuarial assumptions including higher bond rates used to value </w:t>
      </w:r>
      <w:r>
        <w:t>its</w:t>
      </w:r>
      <w:r w:rsidRPr="00FC2E66">
        <w:t xml:space="preserve"> liabilit</w:t>
      </w:r>
      <w:r>
        <w:t>ies</w:t>
      </w:r>
      <w:r w:rsidRPr="00FC2E66">
        <w:t xml:space="preserve">. </w:t>
      </w:r>
    </w:p>
    <w:p w:rsidR="00F60B5F" w:rsidRDefault="00F60B5F" w:rsidP="005C48A3"/>
    <w:p w:rsidR="00F60B5F" w:rsidRDefault="00F60B5F" w:rsidP="00856AFF"/>
    <w:p w:rsidR="00F60B5F" w:rsidRDefault="00F60B5F" w:rsidP="00856AFF">
      <w:pPr>
        <w:sectPr w:rsidR="00F60B5F" w:rsidSect="006C00BC">
          <w:footerReference w:type="even" r:id="rId27"/>
          <w:footerReference w:type="default" r:id="rId28"/>
          <w:pgSz w:w="9979" w:h="14181" w:code="138"/>
          <w:pgMar w:top="1138" w:right="1138" w:bottom="1138" w:left="1138" w:header="720" w:footer="720" w:gutter="0"/>
          <w:cols w:space="708"/>
          <w:docGrid w:linePitch="360"/>
        </w:sectPr>
      </w:pPr>
    </w:p>
    <w:p w:rsidR="00F60B5F" w:rsidRPr="00670892" w:rsidRDefault="00F60B5F" w:rsidP="00A92CE4">
      <w:pPr>
        <w:pStyle w:val="ChapterHeading"/>
      </w:pPr>
      <w:bookmarkStart w:id="21" w:name="_Toc374373953"/>
      <w:r w:rsidRPr="00670892">
        <w:t>Chapter </w:t>
      </w:r>
      <w:r>
        <w:t>4</w:t>
      </w:r>
      <w:r w:rsidRPr="00670892">
        <w:t xml:space="preserve"> – Economic strategy for long term growth</w:t>
      </w:r>
      <w:bookmarkEnd w:id="21"/>
    </w:p>
    <w:p w:rsidR="00F60B5F" w:rsidRPr="00B6725E" w:rsidRDefault="00F60B5F" w:rsidP="00B6725E">
      <w:pPr>
        <w:pStyle w:val="HighlightBoxBullet"/>
      </w:pPr>
      <w:r w:rsidRPr="00B6725E">
        <w:t>The Government’s commitment to strong finances, improved service delivery and productivity reform is critical in the face of longer term challenges to growth.</w:t>
      </w:r>
    </w:p>
    <w:p w:rsidR="00F60B5F" w:rsidRDefault="00F60B5F" w:rsidP="00B6725E">
      <w:pPr>
        <w:pStyle w:val="HighlightBoxBullet"/>
      </w:pPr>
      <w:r w:rsidRPr="00B6725E">
        <w:t>Since coming to office</w:t>
      </w:r>
      <w:r>
        <w:t>,</w:t>
      </w:r>
      <w:r w:rsidRPr="00B6725E">
        <w:t xml:space="preserve"> the Government </w:t>
      </w:r>
      <w:r>
        <w:t xml:space="preserve">has </w:t>
      </w:r>
      <w:r w:rsidRPr="00B6725E">
        <w:t>improve</w:t>
      </w:r>
      <w:r>
        <w:t>d</w:t>
      </w:r>
      <w:r w:rsidRPr="00B6725E">
        <w:t xml:space="preserve"> the efficiency of service delivery </w:t>
      </w:r>
      <w:r>
        <w:t xml:space="preserve">by reducing </w:t>
      </w:r>
      <w:r w:rsidRPr="00B6725E">
        <w:t>back office costs and administrative expenditure</w:t>
      </w:r>
      <w:r>
        <w:t>, and will</w:t>
      </w:r>
      <w:r w:rsidRPr="00B6725E">
        <w:t xml:space="preserve"> continue to drive longer term</w:t>
      </w:r>
      <w:r>
        <w:t xml:space="preserve"> improvements</w:t>
      </w:r>
      <w:r w:rsidRPr="00B6725E">
        <w:t>.</w:t>
      </w:r>
    </w:p>
    <w:p w:rsidR="00F60B5F" w:rsidRPr="00B6725E" w:rsidRDefault="00F60B5F" w:rsidP="00B6725E">
      <w:pPr>
        <w:pStyle w:val="HighlightBoxBullet"/>
      </w:pPr>
      <w:r w:rsidRPr="00B6725E">
        <w:t>The Gover</w:t>
      </w:r>
      <w:r>
        <w:t>nment is improving productivity through</w:t>
      </w:r>
      <w:r w:rsidRPr="00B6725E">
        <w:t>:</w:t>
      </w:r>
    </w:p>
    <w:p w:rsidR="00F60B5F" w:rsidRDefault="00F60B5F" w:rsidP="00E76AD9">
      <w:pPr>
        <w:pStyle w:val="HighlightBoxDash"/>
      </w:pPr>
      <w:r>
        <w:tab/>
        <w:t>–</w:t>
      </w:r>
      <w:r>
        <w:tab/>
        <w:t>investment in productivity enhancing infrastructure, with a particular focus on road, rail and port projects, to reduce costs to business and attract increased private investment;</w:t>
      </w:r>
    </w:p>
    <w:p w:rsidR="00F60B5F" w:rsidRDefault="00F60B5F" w:rsidP="00E76AD9">
      <w:pPr>
        <w:pStyle w:val="HighlightBoxDash"/>
      </w:pPr>
      <w:r>
        <w:tab/>
        <w:t>–</w:t>
      </w:r>
      <w:r>
        <w:tab/>
        <w:t>investment in and reform of skills, and education and training to boost workforce participation and flexibility;</w:t>
      </w:r>
    </w:p>
    <w:p w:rsidR="00F60B5F" w:rsidRDefault="00F60B5F" w:rsidP="00E76AD9">
      <w:pPr>
        <w:pStyle w:val="HighlightBoxDash"/>
      </w:pPr>
      <w:r>
        <w:tab/>
      </w:r>
      <w:r w:rsidRPr="001F0302">
        <w:t>–</w:t>
      </w:r>
      <w:r>
        <w:tab/>
        <w:t xml:space="preserve">creating competitive markets and reducing business costs through the implementation of number of reforms. The Government is committed to delivering red tape reductions of 25 per cent, implementing taxi industry reforms and the Fire Services Property Levy; </w:t>
      </w:r>
    </w:p>
    <w:p w:rsidR="00F60B5F" w:rsidRDefault="00F60B5F" w:rsidP="00E76AD9">
      <w:pPr>
        <w:pStyle w:val="HighlightBoxDash"/>
      </w:pPr>
      <w:r>
        <w:tab/>
      </w:r>
      <w:r w:rsidRPr="00AE50AB">
        <w:t>–</w:t>
      </w:r>
      <w:r>
        <w:tab/>
        <w:t xml:space="preserve">growing export markets to support Victorian businesses, particularly through enhanced international engagement, to give more opportunities to enter into new markets; and </w:t>
      </w:r>
    </w:p>
    <w:p w:rsidR="00F60B5F" w:rsidRPr="00B6725E" w:rsidRDefault="00F60B5F" w:rsidP="00E76AD9">
      <w:pPr>
        <w:pStyle w:val="HighlightBoxDash"/>
      </w:pPr>
      <w:r>
        <w:tab/>
      </w:r>
      <w:r w:rsidRPr="00AE50AB">
        <w:t>–</w:t>
      </w:r>
      <w:r>
        <w:tab/>
        <w:t xml:space="preserve">supporting industries and employees in transition, by providing support services and encouraging retraining. </w:t>
      </w:r>
    </w:p>
    <w:p w:rsidR="00F60B5F" w:rsidRDefault="00F60B5F" w:rsidP="00667642">
      <w:pPr>
        <w:pStyle w:val="Notes"/>
      </w:pPr>
    </w:p>
    <w:p w:rsidR="00F60B5F" w:rsidRDefault="00F60B5F" w:rsidP="00EC016B">
      <w:r>
        <w:t>While Victoria’s medium and long</w:t>
      </w:r>
      <w:r>
        <w:noBreakHyphen/>
        <w:t xml:space="preserve">term prospects are positive, the State faces a number of challenges common to all mature economies. Without significant improvements to current productivity levels, our ageing population is projected to lead to a slowdown of real economic growth over the next 40 years, leading to lower revenue growth. At the same time expenditure pressures including those associated with an ageing population, such as demand for health care, are likely to increase. </w:t>
      </w:r>
    </w:p>
    <w:p w:rsidR="00F60B5F" w:rsidRDefault="00F60B5F" w:rsidP="00EC016B">
      <w:r>
        <w:t xml:space="preserve">Productivity growth is critical in determining Victoria’s wealth and living standards over the longer term. The easing in labour productivity growth experienced over the past decade represents a significant risk to Victoria’s prosperity. Addressing this trend requires an ongoing economic reform effort. </w:t>
      </w:r>
    </w:p>
    <w:p w:rsidR="00F60B5F" w:rsidRDefault="00F60B5F" w:rsidP="00EC016B">
      <w:r>
        <w:t>The Government’s economic and fiscal strategy directly addresses the challenges facing Victoria, within the scope of a state government, to drive future growth and prosperity.</w:t>
      </w:r>
    </w:p>
    <w:p w:rsidR="00F60B5F" w:rsidRDefault="00F60B5F" w:rsidP="00EC016B">
      <w:r>
        <w:t>The Government is focused on strengthening budget capacity, providing more responsive and productive services and improving productivity, including through the provision of major infrastructure. It will continue to build the skills and capabilities of the workforce and help ensure Victoria is a competitive and low cost place to do business.</w:t>
      </w:r>
    </w:p>
    <w:p w:rsidR="00F60B5F" w:rsidRPr="001E4BB3" w:rsidRDefault="00F60B5F" w:rsidP="00670892">
      <w:pPr>
        <w:pStyle w:val="Heading1"/>
      </w:pPr>
      <w:bookmarkStart w:id="22" w:name="_Toc374373954"/>
      <w:r w:rsidRPr="00316ACF">
        <w:t>High quality, innovative and efficient services</w:t>
      </w:r>
      <w:bookmarkEnd w:id="22"/>
    </w:p>
    <w:p w:rsidR="00F60B5F" w:rsidRDefault="00F60B5F" w:rsidP="00B8735E">
      <w:r w:rsidRPr="00316ACF">
        <w:t xml:space="preserve">The </w:t>
      </w:r>
      <w:r>
        <w:t>essential role of government is service delivery, and community demand for the services provided by the State Government will continue to grow over time. While Victorians rightfully demand high quality services, they expect them to be provided efficiently and without imposing undue tax or regulatory burdens on the community</w:t>
      </w:r>
      <w:r w:rsidRPr="00316ACF">
        <w:t>.</w:t>
      </w:r>
      <w:r>
        <w:t xml:space="preserve"> Moreover services must be provided without burdening future generations of Victorians with unsustainable levels of debt. </w:t>
      </w:r>
    </w:p>
    <w:p w:rsidR="00F60B5F" w:rsidRPr="00316ACF" w:rsidRDefault="00F60B5F" w:rsidP="00670892">
      <w:pPr>
        <w:pStyle w:val="Heading2"/>
      </w:pPr>
      <w:r w:rsidRPr="00316ACF">
        <w:t xml:space="preserve">Better service </w:t>
      </w:r>
      <w:r w:rsidRPr="00670892">
        <w:t>delivery</w:t>
      </w:r>
    </w:p>
    <w:p w:rsidR="00F60B5F" w:rsidRDefault="00F60B5F" w:rsidP="00EC5A24">
      <w:r>
        <w:t>Since coming to office t</w:t>
      </w:r>
      <w:r w:rsidRPr="0069074F">
        <w:t xml:space="preserve">he Government has </w:t>
      </w:r>
      <w:r>
        <w:t xml:space="preserve">taken decisive steps to boost </w:t>
      </w:r>
      <w:r w:rsidRPr="0069074F">
        <w:t>public sector productivity by reducing back office costs and administrative expenditure, and by reducing internal red tape.</w:t>
      </w:r>
    </w:p>
    <w:p w:rsidR="00F60B5F" w:rsidRDefault="00F60B5F" w:rsidP="00EC5A24">
      <w:r w:rsidRPr="001D07E5">
        <w:t>The Government’s Sustainable Government Initiative (SGI) has refocu</w:t>
      </w:r>
      <w:r>
        <w:t>ssed the public service so that</w:t>
      </w:r>
      <w:r w:rsidRPr="001D07E5">
        <w:t xml:space="preserve"> the percentage of staff in the </w:t>
      </w:r>
      <w:r>
        <w:t>Victorian public sector (</w:t>
      </w:r>
      <w:r w:rsidRPr="001D07E5">
        <w:t>VPS</w:t>
      </w:r>
      <w:r>
        <w:t>) devoted to front</w:t>
      </w:r>
      <w:r w:rsidRPr="001D07E5">
        <w:t>line service delivery</w:t>
      </w:r>
      <w:r>
        <w:t>,</w:t>
      </w:r>
      <w:r w:rsidRPr="001D07E5">
        <w:t xml:space="preserve"> as a share of the total workforce</w:t>
      </w:r>
      <w:r>
        <w:t>,</w:t>
      </w:r>
      <w:r w:rsidRPr="001D07E5">
        <w:t xml:space="preserve"> has grown by 5</w:t>
      </w:r>
      <w:r>
        <w:t> percentage points.</w:t>
      </w:r>
    </w:p>
    <w:p w:rsidR="00F60B5F" w:rsidRDefault="00F60B5F" w:rsidP="00EC5A24">
      <w:r w:rsidRPr="00B8735E">
        <w:t>Further, the introduction of the Government’s wages policy emphasised that enterprise bargaining outcomes need to deliver measurable improvements in service delivery, workforce productivity and workplace reform while maintaining fiscal sustainability. This reduced the cost of enterprise bargaining agreements in both the budget and non</w:t>
      </w:r>
      <w:r>
        <w:noBreakHyphen/>
      </w:r>
      <w:r w:rsidRPr="00B8735E">
        <w:t xml:space="preserve">budget sectors and lowered growth in the public sector wage bill. There has been a reduction of almost </w:t>
      </w:r>
      <w:r>
        <w:t>1 per cent</w:t>
      </w:r>
      <w:r w:rsidRPr="00B8735E">
        <w:t xml:space="preserve"> in the annualised average cost of agreements s</w:t>
      </w:r>
      <w:r>
        <w:t>ince the release of the policy</w:t>
      </w:r>
      <w:r w:rsidRPr="00B8735E">
        <w:t>.</w:t>
      </w:r>
    </w:p>
    <w:p w:rsidR="00F60B5F" w:rsidRDefault="00F60B5F" w:rsidP="00EC5A24">
      <w:r>
        <w:t>At the same time, investment in</w:t>
      </w:r>
      <w:r w:rsidRPr="00801F93">
        <w:t xml:space="preserve"> frontline service delivery in key areas has increased</w:t>
      </w:r>
      <w:r>
        <w:t>. For example:</w:t>
      </w:r>
    </w:p>
    <w:p w:rsidR="00F60B5F" w:rsidRDefault="00F60B5F" w:rsidP="00EC5335">
      <w:pPr>
        <w:pStyle w:val="BulletText"/>
      </w:pPr>
      <w:r w:rsidRPr="00EC5335">
        <w:t>a record $14.3</w:t>
      </w:r>
      <w:r>
        <w:t> billion</w:t>
      </w:r>
      <w:r w:rsidRPr="00EC5335">
        <w:t xml:space="preserve"> is being invested in health in 2013</w:t>
      </w:r>
      <w:r>
        <w:noBreakHyphen/>
      </w:r>
      <w:r w:rsidRPr="00EC5335">
        <w:t>14 with targets to provide an increase of 54 000 acute hospital separations and 189 000 people treated in specialist outpatient clinics</w:t>
      </w:r>
      <w:r>
        <w:t>;</w:t>
      </w:r>
    </w:p>
    <w:p w:rsidR="00F60B5F" w:rsidRDefault="00F60B5F" w:rsidP="004F2ADE">
      <w:pPr>
        <w:pStyle w:val="BulletText"/>
      </w:pPr>
      <w:r>
        <w:t>building on</w:t>
      </w:r>
      <w:r w:rsidRPr="004F2ADE">
        <w:t xml:space="preserve"> the $</w:t>
      </w:r>
      <w:r>
        <w:t>336 million</w:t>
      </w:r>
      <w:r w:rsidRPr="004F2ADE">
        <w:t xml:space="preserve"> investment for protecting vulnerable children as part of the </w:t>
      </w:r>
      <w:r w:rsidRPr="004F2ADE">
        <w:rPr>
          <w:i/>
        </w:rPr>
        <w:t>2012</w:t>
      </w:r>
      <w:r>
        <w:rPr>
          <w:i/>
        </w:rPr>
        <w:noBreakHyphen/>
      </w:r>
      <w:r w:rsidRPr="004F2ADE">
        <w:rPr>
          <w:i/>
        </w:rPr>
        <w:t>13 Budget</w:t>
      </w:r>
      <w:r w:rsidRPr="004F2ADE">
        <w:t xml:space="preserve">, the </w:t>
      </w:r>
      <w:r w:rsidRPr="00B8735E">
        <w:rPr>
          <w:i/>
        </w:rPr>
        <w:t>2013</w:t>
      </w:r>
      <w:r>
        <w:rPr>
          <w:i/>
        </w:rPr>
        <w:noBreakHyphen/>
      </w:r>
      <w:r w:rsidRPr="00B8735E">
        <w:rPr>
          <w:i/>
        </w:rPr>
        <w:t>14 Budget</w:t>
      </w:r>
      <w:r>
        <w:t xml:space="preserve"> increased funding to programs such as out</w:t>
      </w:r>
      <w:r>
        <w:noBreakHyphen/>
      </w:r>
      <w:r w:rsidRPr="004F2ADE">
        <w:t>of</w:t>
      </w:r>
      <w:r>
        <w:noBreakHyphen/>
      </w:r>
      <w:r w:rsidRPr="004F2ADE">
        <w:t>home care by an additional $</w:t>
      </w:r>
      <w:r>
        <w:t>152 million</w:t>
      </w:r>
      <w:r w:rsidRPr="004F2ADE">
        <w:t xml:space="preserve"> over four years. This </w:t>
      </w:r>
      <w:r>
        <w:t xml:space="preserve">funding </w:t>
      </w:r>
      <w:r w:rsidRPr="004F2ADE">
        <w:t>targets the needs of complex clients to improve o</w:t>
      </w:r>
      <w:r>
        <w:t xml:space="preserve">utcomes for vulnerable children; and </w:t>
      </w:r>
    </w:p>
    <w:p w:rsidR="00F60B5F" w:rsidRDefault="00F60B5F" w:rsidP="006B0536">
      <w:pPr>
        <w:pStyle w:val="BulletText"/>
      </w:pPr>
      <w:r>
        <w:t xml:space="preserve">there has been </w:t>
      </w:r>
      <w:r w:rsidRPr="006B0536">
        <w:t>increased funding for frontline policing through the recruitment of an additional 1</w:t>
      </w:r>
      <w:r>
        <w:t> </w:t>
      </w:r>
      <w:r w:rsidRPr="006B0536">
        <w:t xml:space="preserve">700 police and 940 Protective Services Officers as announced in the </w:t>
      </w:r>
      <w:r>
        <w:rPr>
          <w:i/>
        </w:rPr>
        <w:t>2011</w:t>
      </w:r>
      <w:r>
        <w:rPr>
          <w:i/>
        </w:rPr>
        <w:noBreakHyphen/>
        <w:t>12</w:t>
      </w:r>
      <w:r w:rsidRPr="001837DB">
        <w:rPr>
          <w:i/>
        </w:rPr>
        <w:t xml:space="preserve"> Budget</w:t>
      </w:r>
      <w:r>
        <w:t>.</w:t>
      </w:r>
    </w:p>
    <w:p w:rsidR="00F60B5F" w:rsidRPr="00316ACF" w:rsidRDefault="00F60B5F" w:rsidP="00EC5A24">
      <w:r w:rsidRPr="00316ACF">
        <w:t>Driving long</w:t>
      </w:r>
      <w:r>
        <w:t>er term change for high quality</w:t>
      </w:r>
      <w:r w:rsidRPr="00316ACF">
        <w:t xml:space="preserve"> and efficient services will involve a service delivery transformation through:</w:t>
      </w:r>
    </w:p>
    <w:p w:rsidR="00F60B5F" w:rsidRDefault="00F60B5F" w:rsidP="00670892">
      <w:pPr>
        <w:pStyle w:val="BulletText"/>
      </w:pPr>
      <w:r w:rsidRPr="008C2D2C">
        <w:t>reforming the way services are delivered</w:t>
      </w:r>
      <w:r>
        <w:t xml:space="preserve"> to provide greater choice and control to Victorians</w:t>
      </w:r>
      <w:r w:rsidRPr="008C2D2C">
        <w:t>;</w:t>
      </w:r>
      <w:r w:rsidRPr="003E2C37">
        <w:t xml:space="preserve"> </w:t>
      </w:r>
    </w:p>
    <w:p w:rsidR="00F60B5F" w:rsidRDefault="00F60B5F" w:rsidP="00670892">
      <w:pPr>
        <w:pStyle w:val="BulletText"/>
      </w:pPr>
      <w:r>
        <w:t xml:space="preserve">improving the use of models that elicit </w:t>
      </w:r>
      <w:r w:rsidRPr="00671601">
        <w:t>information</w:t>
      </w:r>
      <w:r>
        <w:t xml:space="preserve"> from consumers</w:t>
      </w:r>
      <w:r w:rsidRPr="00671601">
        <w:t xml:space="preserve"> about where demand is high and where it is low</w:t>
      </w:r>
      <w:r>
        <w:t>,</w:t>
      </w:r>
      <w:r w:rsidRPr="00671601">
        <w:t xml:space="preserve"> so that services</w:t>
      </w:r>
      <w:r>
        <w:t xml:space="preserve"> are targeted to where there is greatest demand;</w:t>
      </w:r>
    </w:p>
    <w:p w:rsidR="00F60B5F" w:rsidRDefault="00F60B5F" w:rsidP="00670892">
      <w:pPr>
        <w:pStyle w:val="BulletText"/>
      </w:pPr>
      <w:r>
        <w:t>ensuring e</w:t>
      </w:r>
      <w:r w:rsidRPr="008C2D2C">
        <w:t>asier access to services includin</w:t>
      </w:r>
      <w:r>
        <w:t>g through the use of technology;</w:t>
      </w:r>
    </w:p>
    <w:p w:rsidR="00F60B5F" w:rsidRDefault="00F60B5F" w:rsidP="00670892">
      <w:pPr>
        <w:pStyle w:val="BulletText"/>
      </w:pPr>
      <w:r w:rsidRPr="008C2D2C">
        <w:t>improvi</w:t>
      </w:r>
      <w:r>
        <w:t xml:space="preserve">ng </w:t>
      </w:r>
      <w:r w:rsidRPr="008C2D2C">
        <w:t xml:space="preserve">the skills and capabilities of the public service to </w:t>
      </w:r>
      <w:r>
        <w:t xml:space="preserve">successfully move to </w:t>
      </w:r>
      <w:r w:rsidRPr="008C2D2C">
        <w:t xml:space="preserve">new service delivery models; </w:t>
      </w:r>
      <w:r w:rsidRPr="00671601">
        <w:t>and</w:t>
      </w:r>
    </w:p>
    <w:p w:rsidR="00F60B5F" w:rsidRDefault="00F60B5F" w:rsidP="00670892">
      <w:pPr>
        <w:pStyle w:val="BulletText"/>
      </w:pPr>
      <w:r>
        <w:t xml:space="preserve">improving responsiveness to customer feedback including through benchmarking the productivity of public services to evaluate both value for money and performance and where possible using choice based models. </w:t>
      </w:r>
    </w:p>
    <w:p w:rsidR="00F60B5F" w:rsidRPr="00316ACF" w:rsidRDefault="00F60B5F" w:rsidP="00670892">
      <w:r w:rsidRPr="00316ACF">
        <w:t>These reforms will provide</w:t>
      </w:r>
      <w:r>
        <w:t xml:space="preserve"> more customer focus</w:t>
      </w:r>
      <w:r w:rsidRPr="00316ACF">
        <w:t xml:space="preserve"> and enable the continued delivery of quality services in the context of long</w:t>
      </w:r>
      <w:r>
        <w:noBreakHyphen/>
      </w:r>
      <w:r w:rsidRPr="00316ACF">
        <w:t>term fiscal pressures.</w:t>
      </w:r>
    </w:p>
    <w:p w:rsidR="00F60B5F" w:rsidRPr="00316ACF" w:rsidRDefault="00F60B5F" w:rsidP="00670892">
      <w:r>
        <w:t xml:space="preserve">Promoting </w:t>
      </w:r>
      <w:r w:rsidRPr="00316ACF">
        <w:t xml:space="preserve">competition and innovation </w:t>
      </w:r>
      <w:r>
        <w:t xml:space="preserve">will also </w:t>
      </w:r>
      <w:r w:rsidRPr="00316ACF">
        <w:t>improve the diversity and quality of services available.</w:t>
      </w:r>
      <w:r>
        <w:t xml:space="preserve"> </w:t>
      </w:r>
    </w:p>
    <w:p w:rsidR="00F60B5F" w:rsidRPr="00316ACF" w:rsidRDefault="00F60B5F" w:rsidP="00670892">
      <w:r>
        <w:t>A ‘commissioning’ model can</w:t>
      </w:r>
      <w:r w:rsidRPr="00316ACF">
        <w:t xml:space="preserve"> help deliver future services by clearly identifying public needs and the outcomes that government wants to purchase. Services are then designed that best address those needs and allow more innovative and efficient approaches to emerge. Commissioning involves making decisions about:</w:t>
      </w:r>
    </w:p>
    <w:p w:rsidR="00F60B5F" w:rsidRDefault="00F60B5F" w:rsidP="00670892">
      <w:pPr>
        <w:pStyle w:val="BulletText"/>
      </w:pPr>
      <w:r w:rsidRPr="00E67DC1">
        <w:t>the outcomes that public services are expected to deliver;</w:t>
      </w:r>
      <w:r w:rsidRPr="003E2C37">
        <w:t xml:space="preserve"> </w:t>
      </w:r>
    </w:p>
    <w:p w:rsidR="00F60B5F" w:rsidRDefault="00F60B5F" w:rsidP="00A92CE4">
      <w:pPr>
        <w:pStyle w:val="BulletText"/>
      </w:pPr>
      <w:r w:rsidRPr="00E67DC1">
        <w:t>the level at which they will be procured and delivered (local, state or national);</w:t>
      </w:r>
      <w:r w:rsidRPr="003E2C37">
        <w:t xml:space="preserve"> </w:t>
      </w:r>
    </w:p>
    <w:p w:rsidR="00F60B5F" w:rsidRDefault="00F60B5F" w:rsidP="00A92CE4">
      <w:pPr>
        <w:pStyle w:val="BulletText"/>
      </w:pPr>
      <w:r w:rsidRPr="00E67DC1">
        <w:t>the way in which they will</w:t>
      </w:r>
      <w:r>
        <w:t xml:space="preserve"> </w:t>
      </w:r>
      <w:r w:rsidRPr="00E67DC1">
        <w:t>be obtained (this could include consideration of a range of service delivery methods from direct state delivery, to non</w:t>
      </w:r>
      <w:r>
        <w:noBreakHyphen/>
      </w:r>
      <w:r w:rsidRPr="00E67DC1">
        <w:t>government sector delivery or a combination of both); and</w:t>
      </w:r>
    </w:p>
    <w:p w:rsidR="00F60B5F" w:rsidRDefault="00F60B5F" w:rsidP="00B8735E">
      <w:pPr>
        <w:pStyle w:val="BulletText"/>
      </w:pPr>
      <w:r w:rsidRPr="00316ACF">
        <w:t xml:space="preserve">whether or not they will be obtained within a single organisation or more broadly. </w:t>
      </w:r>
    </w:p>
    <w:p w:rsidR="00F60B5F" w:rsidRDefault="00F60B5F" w:rsidP="00D95F9D">
      <w:pPr>
        <w:pStyle w:val="Heading5"/>
      </w:pPr>
      <w:r w:rsidRPr="00D95F9D">
        <w:t>The National Disability Ins</w:t>
      </w:r>
      <w:r>
        <w:t>urance Scheme</w:t>
      </w:r>
    </w:p>
    <w:p w:rsidR="00F60B5F" w:rsidRDefault="00F60B5F" w:rsidP="00863ACF">
      <w:r>
        <w:t xml:space="preserve">The </w:t>
      </w:r>
      <w:r w:rsidRPr="00D95F9D">
        <w:t xml:space="preserve">National Disability Insurance Scheme </w:t>
      </w:r>
      <w:r>
        <w:t>(</w:t>
      </w:r>
      <w:r w:rsidRPr="00633017">
        <w:t>N</w:t>
      </w:r>
      <w:r>
        <w:t>DIS)</w:t>
      </w:r>
      <w:r w:rsidRPr="00633017">
        <w:t xml:space="preserve"> that the Government has recently </w:t>
      </w:r>
      <w:r>
        <w:t xml:space="preserve">agreed </w:t>
      </w:r>
      <w:r w:rsidRPr="00633017">
        <w:t xml:space="preserve">to </w:t>
      </w:r>
      <w:r>
        <w:t xml:space="preserve">with the Commonwealth </w:t>
      </w:r>
      <w:r w:rsidRPr="00633017">
        <w:t xml:space="preserve">has the potential to put aspects of the commissioning model into practice. It separates funding from provision, and is designed to provide people with an individual package of support and their choice of service provider. The NDIS will provide lifetime care and support for people with a </w:t>
      </w:r>
      <w:r>
        <w:t xml:space="preserve">serious </w:t>
      </w:r>
      <w:r w:rsidRPr="00633017">
        <w:t xml:space="preserve">disability, helping them to achieve their goals, and supporting their social and economic participation. </w:t>
      </w:r>
    </w:p>
    <w:p w:rsidR="00F60B5F" w:rsidRDefault="00F60B5F" w:rsidP="00863ACF">
      <w:r>
        <w:t>The Government is implementing a number of projects that aim to transform services so that they are more tailored to people’s needs, help people build their strengths and capabilities to improve their lives, and are delivered efficiently.</w:t>
      </w:r>
    </w:p>
    <w:p w:rsidR="00F60B5F" w:rsidRDefault="00F60B5F" w:rsidP="00740D2E">
      <w:pPr>
        <w:pStyle w:val="Heading3"/>
      </w:pPr>
      <w:r w:rsidRPr="00D95F9D">
        <w:t>Services Connect</w:t>
      </w:r>
      <w:r>
        <w:t xml:space="preserve"> </w:t>
      </w:r>
    </w:p>
    <w:p w:rsidR="00F60B5F" w:rsidRDefault="00F60B5F" w:rsidP="003C7550">
      <w:r w:rsidRPr="003C7550">
        <w:rPr>
          <w:i/>
        </w:rPr>
        <w:t>Services Connect</w:t>
      </w:r>
      <w:r>
        <w:t xml:space="preserve"> aims to better connect vulnerable and disadvantaged Victorians with the right support to address all of their service needs. Key elements will include a single assessment of a person’s or family’s needs, one key worker instead of multiple workers that duplicate each other, and one coordinated plan that focuses on helping people move towards greater independence. </w:t>
      </w:r>
    </w:p>
    <w:p w:rsidR="00F60B5F" w:rsidRDefault="00F60B5F" w:rsidP="003C7550">
      <w:r>
        <w:t xml:space="preserve">Trial sites of the </w:t>
      </w:r>
      <w:r w:rsidRPr="001837DB">
        <w:rPr>
          <w:i/>
        </w:rPr>
        <w:t>Services Connect</w:t>
      </w:r>
      <w:r>
        <w:t xml:space="preserve"> model are testing the various opportunities to create a more effective and efficient service system.</w:t>
      </w:r>
    </w:p>
    <w:p w:rsidR="00F60B5F" w:rsidRDefault="00F60B5F" w:rsidP="00740D2E">
      <w:pPr>
        <w:pStyle w:val="Heading3"/>
      </w:pPr>
      <w:r w:rsidRPr="00D95F9D">
        <w:t>Service Sector Reform</w:t>
      </w:r>
    </w:p>
    <w:p w:rsidR="00F60B5F" w:rsidRDefault="00F60B5F" w:rsidP="003C7550">
      <w:r>
        <w:t xml:space="preserve">The Government’s </w:t>
      </w:r>
      <w:r w:rsidRPr="009B71B3">
        <w:rPr>
          <w:i/>
        </w:rPr>
        <w:t>Service Sector Reform</w:t>
      </w:r>
      <w:r>
        <w:t xml:space="preserve"> project, led by Professor Peter Shergold AC, has reviewed the relationship between Government and the community service sectors and identified opportunities for more effective and financially sustainable community services.</w:t>
      </w:r>
    </w:p>
    <w:p w:rsidR="00F60B5F" w:rsidRDefault="00F60B5F" w:rsidP="00863ACF">
      <w:r>
        <w:t xml:space="preserve">Professor Shergold’s final report, </w:t>
      </w:r>
      <w:r w:rsidRPr="00354117">
        <w:rPr>
          <w:i/>
        </w:rPr>
        <w:t>Service Sector Reform: A roadmap for community and human services reform</w:t>
      </w:r>
      <w:r>
        <w:t>, recommends a shift to a more integrated approach to service delivery which is centred on individual needs, and based on:</w:t>
      </w:r>
    </w:p>
    <w:p w:rsidR="00F60B5F" w:rsidRDefault="00F60B5F" w:rsidP="00A92CE4">
      <w:pPr>
        <w:pStyle w:val="BulletText"/>
      </w:pPr>
      <w:r>
        <w:t>a stronger focus on results and measuring outcomes in people’s lives;</w:t>
      </w:r>
    </w:p>
    <w:p w:rsidR="00F60B5F" w:rsidRDefault="00F60B5F" w:rsidP="00A92CE4">
      <w:pPr>
        <w:pStyle w:val="BulletText"/>
      </w:pPr>
      <w:r>
        <w:t>improved productivity and accountability in government funded services;</w:t>
      </w:r>
    </w:p>
    <w:p w:rsidR="00F60B5F" w:rsidRDefault="00F60B5F" w:rsidP="00A92CE4">
      <w:pPr>
        <w:pStyle w:val="BulletText"/>
      </w:pPr>
      <w:r>
        <w:t xml:space="preserve">greater collaboration between government and the community sector; </w:t>
      </w:r>
    </w:p>
    <w:p w:rsidR="00F60B5F" w:rsidRDefault="00F60B5F" w:rsidP="00A92CE4">
      <w:pPr>
        <w:pStyle w:val="BulletText"/>
      </w:pPr>
      <w:r>
        <w:t>simplifying funding so that it can be used flexibly to provide coordinated services to people facing multiple disadvantage;</w:t>
      </w:r>
    </w:p>
    <w:p w:rsidR="00F60B5F" w:rsidRDefault="00F60B5F" w:rsidP="00A92CE4">
      <w:pPr>
        <w:pStyle w:val="BulletText"/>
      </w:pPr>
      <w:r>
        <w:t xml:space="preserve">more choice and control for users of community services; and </w:t>
      </w:r>
    </w:p>
    <w:p w:rsidR="00F60B5F" w:rsidRDefault="00F60B5F" w:rsidP="00A92CE4">
      <w:pPr>
        <w:pStyle w:val="BulletText"/>
      </w:pPr>
      <w:r>
        <w:t xml:space="preserve">simplified regulation and processes. </w:t>
      </w:r>
    </w:p>
    <w:p w:rsidR="00F60B5F" w:rsidRDefault="00F60B5F" w:rsidP="00191932">
      <w:pPr>
        <w:rPr>
          <w:lang w:eastAsia="en-AU"/>
        </w:rPr>
      </w:pPr>
      <w:r>
        <w:t>The Government has established a Community Sector Reform Council to advise on the effective implementation of the reform directions.</w:t>
      </w:r>
    </w:p>
    <w:p w:rsidR="00F60B5F" w:rsidRDefault="00F60B5F" w:rsidP="00740D2E">
      <w:pPr>
        <w:pStyle w:val="Heading3"/>
        <w:rPr>
          <w:lang w:eastAsia="en-AU"/>
        </w:rPr>
      </w:pPr>
      <w:r>
        <w:rPr>
          <w:lang w:eastAsia="en-AU"/>
        </w:rPr>
        <w:t>Reforms to mental health community support programs</w:t>
      </w:r>
      <w:r w:rsidRPr="002B7432">
        <w:rPr>
          <w:lang w:eastAsia="en-AU"/>
        </w:rPr>
        <w:t xml:space="preserve"> </w:t>
      </w:r>
    </w:p>
    <w:p w:rsidR="00F60B5F" w:rsidRPr="00F72130" w:rsidRDefault="00F60B5F" w:rsidP="00670892">
      <w:pPr>
        <w:rPr>
          <w:lang w:eastAsia="en-AU"/>
        </w:rPr>
      </w:pPr>
      <w:r>
        <w:rPr>
          <w:lang w:eastAsia="en-AU"/>
        </w:rPr>
        <w:t>The Government is implementing reforms to mental health community s</w:t>
      </w:r>
      <w:r w:rsidRPr="009B71B3">
        <w:rPr>
          <w:lang w:eastAsia="en-AU"/>
        </w:rPr>
        <w:t xml:space="preserve">upport </w:t>
      </w:r>
      <w:r>
        <w:rPr>
          <w:lang w:eastAsia="en-AU"/>
        </w:rPr>
        <w:t xml:space="preserve">programs through its </w:t>
      </w:r>
      <w:r w:rsidRPr="0053684D">
        <w:rPr>
          <w:lang w:eastAsia="en-AU"/>
        </w:rPr>
        <w:t>Psychiatric Disability Rehabilitation Support Services Reform Program</w:t>
      </w:r>
      <w:r>
        <w:rPr>
          <w:lang w:eastAsia="en-AU"/>
        </w:rPr>
        <w:t xml:space="preserve"> that will</w:t>
      </w:r>
      <w:r w:rsidRPr="00F72130">
        <w:rPr>
          <w:lang w:eastAsia="en-AU"/>
        </w:rPr>
        <w:t xml:space="preserve"> drive the kinds of system, practice and culture changes needed to deliver individualised, client directed packages and e</w:t>
      </w:r>
      <w:r>
        <w:rPr>
          <w:lang w:eastAsia="en-AU"/>
        </w:rPr>
        <w:t>nsure that support</w:t>
      </w:r>
      <w:r w:rsidRPr="00F72130">
        <w:rPr>
          <w:lang w:eastAsia="en-AU"/>
        </w:rPr>
        <w:t xml:space="preserve"> </w:t>
      </w:r>
      <w:r>
        <w:rPr>
          <w:lang w:eastAsia="en-AU"/>
        </w:rPr>
        <w:t xml:space="preserve">is </w:t>
      </w:r>
      <w:r w:rsidRPr="00F72130">
        <w:rPr>
          <w:lang w:eastAsia="en-AU"/>
        </w:rPr>
        <w:t>effec</w:t>
      </w:r>
      <w:r>
        <w:rPr>
          <w:lang w:eastAsia="en-AU"/>
        </w:rPr>
        <w:t xml:space="preserve">tive, efficient and integrated. </w:t>
      </w:r>
      <w:r w:rsidRPr="00F72130">
        <w:rPr>
          <w:lang w:eastAsia="en-AU"/>
        </w:rPr>
        <w:t>Under a reformed system:</w:t>
      </w:r>
    </w:p>
    <w:p w:rsidR="00F60B5F" w:rsidRPr="00F72130" w:rsidRDefault="00F60B5F" w:rsidP="00A92CE4">
      <w:pPr>
        <w:pStyle w:val="BulletText"/>
        <w:rPr>
          <w:lang w:eastAsia="en-AU"/>
        </w:rPr>
      </w:pPr>
      <w:r w:rsidRPr="00F72130">
        <w:rPr>
          <w:lang w:eastAsia="en-AU"/>
        </w:rPr>
        <w:t>services will be easy to access and navigate</w:t>
      </w:r>
      <w:r>
        <w:rPr>
          <w:lang w:eastAsia="en-AU"/>
        </w:rPr>
        <w:t>;</w:t>
      </w:r>
    </w:p>
    <w:p w:rsidR="00F60B5F" w:rsidRPr="00F72130" w:rsidRDefault="00F60B5F" w:rsidP="00A92CE4">
      <w:pPr>
        <w:pStyle w:val="BulletText"/>
        <w:rPr>
          <w:lang w:eastAsia="en-AU"/>
        </w:rPr>
      </w:pPr>
      <w:r w:rsidRPr="00F72130">
        <w:rPr>
          <w:lang w:eastAsia="en-AU"/>
        </w:rPr>
        <w:t>new clients will receive an initial assessment an</w:t>
      </w:r>
      <w:r>
        <w:rPr>
          <w:lang w:eastAsia="en-AU"/>
        </w:rPr>
        <w:t>d supported referral to mental health community support services</w:t>
      </w:r>
      <w:r w:rsidRPr="00F72130">
        <w:rPr>
          <w:lang w:eastAsia="en-AU"/>
        </w:rPr>
        <w:t xml:space="preserve"> as well as other health, human services and social support services they may need</w:t>
      </w:r>
      <w:r>
        <w:rPr>
          <w:lang w:eastAsia="en-AU"/>
        </w:rPr>
        <w:t>;</w:t>
      </w:r>
    </w:p>
    <w:p w:rsidR="00F60B5F" w:rsidRPr="00F72130" w:rsidRDefault="00F60B5F" w:rsidP="00A92CE4">
      <w:pPr>
        <w:pStyle w:val="BulletText"/>
        <w:rPr>
          <w:lang w:eastAsia="en-AU"/>
        </w:rPr>
      </w:pPr>
      <w:r w:rsidRPr="00F72130">
        <w:rPr>
          <w:lang w:eastAsia="en-AU"/>
        </w:rPr>
        <w:t>clients will work in partnership with the</w:t>
      </w:r>
      <w:r>
        <w:rPr>
          <w:lang w:eastAsia="en-AU"/>
        </w:rPr>
        <w:t>ir service provider and carer</w:t>
      </w:r>
      <w:r w:rsidRPr="00F72130">
        <w:rPr>
          <w:lang w:eastAsia="en-AU"/>
        </w:rPr>
        <w:t xml:space="preserve"> to develop a recovery plan</w:t>
      </w:r>
      <w:r>
        <w:rPr>
          <w:lang w:eastAsia="en-AU"/>
        </w:rPr>
        <w:t>;</w:t>
      </w:r>
      <w:r w:rsidRPr="00F72130">
        <w:rPr>
          <w:lang w:eastAsia="en-AU"/>
        </w:rPr>
        <w:t xml:space="preserve"> </w:t>
      </w:r>
    </w:p>
    <w:p w:rsidR="00F60B5F" w:rsidRDefault="00F60B5F">
      <w:pPr>
        <w:spacing w:after="0"/>
        <w:rPr>
          <w:lang w:eastAsia="en-AU"/>
        </w:rPr>
      </w:pPr>
      <w:r>
        <w:rPr>
          <w:lang w:eastAsia="en-AU"/>
        </w:rPr>
        <w:br w:type="page"/>
      </w:r>
    </w:p>
    <w:p w:rsidR="00F60B5F" w:rsidRDefault="00F60B5F" w:rsidP="00A92CE4">
      <w:pPr>
        <w:pStyle w:val="BulletText"/>
        <w:rPr>
          <w:lang w:eastAsia="en-AU"/>
        </w:rPr>
      </w:pPr>
      <w:r w:rsidRPr="00F72130">
        <w:rPr>
          <w:lang w:eastAsia="en-AU"/>
        </w:rPr>
        <w:t>clients will receive a support package based on their recovery plan that will help them to</w:t>
      </w:r>
      <w:r>
        <w:rPr>
          <w:lang w:eastAsia="en-AU"/>
        </w:rPr>
        <w:t>:</w:t>
      </w:r>
    </w:p>
    <w:p w:rsidR="00F60B5F" w:rsidRDefault="00F60B5F" w:rsidP="00670892">
      <w:pPr>
        <w:pStyle w:val="DashText"/>
        <w:rPr>
          <w:lang w:eastAsia="en-AU"/>
        </w:rPr>
      </w:pPr>
      <w:r w:rsidRPr="00F72130">
        <w:rPr>
          <w:lang w:eastAsia="en-AU"/>
        </w:rPr>
        <w:t>improve their daily living, self</w:t>
      </w:r>
      <w:r>
        <w:rPr>
          <w:lang w:eastAsia="en-AU"/>
        </w:rPr>
        <w:t xml:space="preserve"> c</w:t>
      </w:r>
      <w:r w:rsidRPr="00F72130">
        <w:rPr>
          <w:lang w:eastAsia="en-AU"/>
        </w:rPr>
        <w:t>are and social and relationship skills, as appropriate</w:t>
      </w:r>
      <w:r>
        <w:rPr>
          <w:lang w:eastAsia="en-AU"/>
        </w:rPr>
        <w:t>;</w:t>
      </w:r>
    </w:p>
    <w:p w:rsidR="00F60B5F" w:rsidRDefault="00F60B5F" w:rsidP="00670892">
      <w:pPr>
        <w:pStyle w:val="DashText"/>
        <w:rPr>
          <w:lang w:eastAsia="en-AU"/>
        </w:rPr>
      </w:pPr>
      <w:r w:rsidRPr="00F72130">
        <w:rPr>
          <w:lang w:eastAsia="en-AU"/>
        </w:rPr>
        <w:t>achieve their broader quality</w:t>
      </w:r>
      <w:r>
        <w:rPr>
          <w:lang w:eastAsia="en-AU"/>
        </w:rPr>
        <w:t xml:space="preserve"> </w:t>
      </w:r>
      <w:r w:rsidRPr="00F72130">
        <w:rPr>
          <w:lang w:eastAsia="en-AU"/>
        </w:rPr>
        <w:t>of</w:t>
      </w:r>
      <w:r>
        <w:rPr>
          <w:lang w:eastAsia="en-AU"/>
        </w:rPr>
        <w:t xml:space="preserve"> </w:t>
      </w:r>
      <w:r w:rsidRPr="00F72130">
        <w:rPr>
          <w:lang w:eastAsia="en-AU"/>
        </w:rPr>
        <w:t>life needs regarding physical health, social connectedness, housing, education and employment</w:t>
      </w:r>
      <w:r>
        <w:rPr>
          <w:lang w:eastAsia="en-AU"/>
        </w:rPr>
        <w:t xml:space="preserve">; </w:t>
      </w:r>
    </w:p>
    <w:p w:rsidR="00F60B5F" w:rsidRDefault="00F60B5F" w:rsidP="00670892">
      <w:pPr>
        <w:pStyle w:val="DashText"/>
        <w:rPr>
          <w:lang w:eastAsia="en-AU"/>
        </w:rPr>
      </w:pPr>
      <w:r w:rsidRPr="00F72130">
        <w:rPr>
          <w:lang w:eastAsia="en-AU"/>
        </w:rPr>
        <w:t>coordinate access to, and engagement with, the range of health an</w:t>
      </w:r>
      <w:r>
        <w:rPr>
          <w:lang w:eastAsia="en-AU"/>
        </w:rPr>
        <w:t>d community services they need; and</w:t>
      </w:r>
    </w:p>
    <w:p w:rsidR="00F60B5F" w:rsidRPr="00F72130" w:rsidRDefault="00F60B5F" w:rsidP="00670892">
      <w:pPr>
        <w:pStyle w:val="BulletText"/>
        <w:rPr>
          <w:lang w:eastAsia="en-AU"/>
        </w:rPr>
      </w:pPr>
      <w:r w:rsidRPr="00F72130">
        <w:rPr>
          <w:lang w:eastAsia="en-AU"/>
        </w:rPr>
        <w:t>carers and families will be actively supported in their caring role.</w:t>
      </w:r>
    </w:p>
    <w:p w:rsidR="00F60B5F" w:rsidRDefault="00F60B5F" w:rsidP="00740D2E">
      <w:pPr>
        <w:pStyle w:val="Heading3"/>
      </w:pPr>
      <w:r w:rsidRPr="00B658E0">
        <w:t>Elective surgery</w:t>
      </w:r>
    </w:p>
    <w:p w:rsidR="00F60B5F" w:rsidRDefault="00F60B5F" w:rsidP="00670892">
      <w:r>
        <w:t xml:space="preserve">The Government is implementing reforms to improve the efficiency of elective surgery service delivery. </w:t>
      </w:r>
      <w:r w:rsidRPr="00F72130">
        <w:t>Through the</w:t>
      </w:r>
      <w:r w:rsidRPr="00354117">
        <w:t xml:space="preserve"> </w:t>
      </w:r>
      <w:r>
        <w:t>p</w:t>
      </w:r>
      <w:r w:rsidRPr="00354117">
        <w:t>ast two budgets</w:t>
      </w:r>
      <w:r>
        <w:t>, the Government provided $101 million in 2013</w:t>
      </w:r>
      <w:r>
        <w:noBreakHyphen/>
        <w:t>14 and ongoing, and $44 million in 2012</w:t>
      </w:r>
      <w:r>
        <w:noBreakHyphen/>
        <w:t>13</w:t>
      </w:r>
      <w:r w:rsidRPr="00F72130">
        <w:t xml:space="preserve"> to be allocated on a competitive basis to drive efficiencies in the provision of elective surgery and increase throughput</w:t>
      </w:r>
      <w:r>
        <w:t xml:space="preserve">. </w:t>
      </w:r>
      <w:r w:rsidRPr="00F72130">
        <w:t xml:space="preserve">This </w:t>
      </w:r>
      <w:r>
        <w:t xml:space="preserve">initiative </w:t>
      </w:r>
      <w:r w:rsidRPr="00F72130">
        <w:t>reform</w:t>
      </w:r>
      <w:r>
        <w:t>s</w:t>
      </w:r>
      <w:r w:rsidRPr="00F72130">
        <w:t xml:space="preserve"> the way funding is allocated and allow</w:t>
      </w:r>
      <w:r>
        <w:t>s</w:t>
      </w:r>
      <w:r w:rsidRPr="00F72130">
        <w:t xml:space="preserve"> patients to be treated more quickly.</w:t>
      </w:r>
    </w:p>
    <w:p w:rsidR="00F60B5F" w:rsidRDefault="00F60B5F" w:rsidP="00740D2E">
      <w:pPr>
        <w:pStyle w:val="Heading3"/>
      </w:pPr>
      <w:r>
        <w:t>Bus c</w:t>
      </w:r>
      <w:r w:rsidRPr="00BC35E8">
        <w:t xml:space="preserve">ontracts </w:t>
      </w:r>
    </w:p>
    <w:p w:rsidR="00F60B5F" w:rsidRDefault="00F60B5F" w:rsidP="00670892">
      <w:r w:rsidRPr="00BC35E8">
        <w:t>New bus contracts for approximately one</w:t>
      </w:r>
      <w:r>
        <w:t xml:space="preserve"> </w:t>
      </w:r>
      <w:r w:rsidRPr="00BC35E8">
        <w:t>third of the Melbourne network were recently allocated via a competitive tender process. The new contracts introduce new timetables and routes to better meet customer demand and incorporate incentives for operators to increase patronage.</w:t>
      </w:r>
      <w:r w:rsidRPr="00C81E0E">
        <w:t xml:space="preserve"> </w:t>
      </w:r>
      <w:r w:rsidRPr="00BC35E8">
        <w:t>This demonstrated that contestability delivers value for money as well as better outcomes for consumers.</w:t>
      </w:r>
    </w:p>
    <w:p w:rsidR="00F60B5F" w:rsidRPr="00316ACF" w:rsidRDefault="00F60B5F" w:rsidP="00670892">
      <w:pPr>
        <w:pStyle w:val="Heading1"/>
      </w:pPr>
      <w:bookmarkStart w:id="23" w:name="_Toc374373955"/>
      <w:r w:rsidRPr="00316ACF">
        <w:t>Growing Victoria’s economy – competitiveness, productivity and investment</w:t>
      </w:r>
      <w:bookmarkEnd w:id="23"/>
    </w:p>
    <w:p w:rsidR="00F60B5F" w:rsidRPr="00316ACF" w:rsidRDefault="00F60B5F" w:rsidP="00670892">
      <w:pPr>
        <w:rPr>
          <w:rFonts w:ascii="Calibri" w:hAnsi="Calibri"/>
          <w:i/>
          <w:sz w:val="15"/>
        </w:rPr>
      </w:pPr>
      <w:r w:rsidRPr="00B15B02">
        <w:t>Victorian l</w:t>
      </w:r>
      <w:r>
        <w:t>abour productivity grew by 2.4 per cent</w:t>
      </w:r>
      <w:r w:rsidRPr="00B15B02">
        <w:t xml:space="preserve"> in 2011</w:t>
      </w:r>
      <w:r>
        <w:noBreakHyphen/>
      </w:r>
      <w:r w:rsidRPr="00B15B02">
        <w:t>12 and 1.4</w:t>
      </w:r>
      <w:r>
        <w:t> per cent</w:t>
      </w:r>
      <w:r w:rsidRPr="00B15B02">
        <w:t xml:space="preserve"> in 2012</w:t>
      </w:r>
      <w:r>
        <w:noBreakHyphen/>
      </w:r>
      <w:r w:rsidRPr="00B15B02">
        <w:t>13, following two consecutive years of negative growth. While these result</w:t>
      </w:r>
      <w:r>
        <w:t>s</w:t>
      </w:r>
      <w:r w:rsidRPr="00B15B02">
        <w:t xml:space="preserve"> are strong, annual productivity growth is inherently volatile. A continuous and focused reform effort is required.</w:t>
      </w:r>
    </w:p>
    <w:p w:rsidR="00F60B5F" w:rsidRPr="00316ACF" w:rsidRDefault="00F60B5F" w:rsidP="00670892">
      <w:r w:rsidRPr="00316ACF">
        <w:t>Government’s influence on the productivity of the private sector is largely through the impact of its institutional frameworks and policies on business decisions. The Government is focusing on policies to ensure the delivery of productivity</w:t>
      </w:r>
      <w:r>
        <w:noBreakHyphen/>
      </w:r>
      <w:r w:rsidRPr="00316ACF">
        <w:t>enhancing infrastructure that attracts priva</w:t>
      </w:r>
      <w:r>
        <w:t>te sector investment, develops</w:t>
      </w:r>
      <w:r w:rsidRPr="00316ACF">
        <w:t xml:space="preserve"> the skills and capabilities of the V</w:t>
      </w:r>
      <w:r>
        <w:t>ictorian workforce and ensures that</w:t>
      </w:r>
      <w:r w:rsidRPr="00316ACF">
        <w:t xml:space="preserve"> regulatory and planning frameworks </w:t>
      </w:r>
      <w:r w:rsidRPr="007F311B">
        <w:t>continue to support</w:t>
      </w:r>
      <w:r w:rsidRPr="00316ACF">
        <w:t xml:space="preserve"> Victoria </w:t>
      </w:r>
      <w:r>
        <w:t xml:space="preserve">remaining </w:t>
      </w:r>
      <w:r w:rsidRPr="00316ACF">
        <w:t>a competitive place to do business.</w:t>
      </w:r>
      <w:r w:rsidRPr="007F311B">
        <w:t xml:space="preserve"> </w:t>
      </w:r>
    </w:p>
    <w:p w:rsidR="00F60B5F" w:rsidRDefault="00F60B5F">
      <w:pPr>
        <w:spacing w:after="0"/>
        <w:rPr>
          <w:rFonts w:ascii="Calibri" w:hAnsi="Calibri"/>
          <w:b/>
          <w:kern w:val="28"/>
          <w:sz w:val="26"/>
          <w:szCs w:val="22"/>
        </w:rPr>
      </w:pPr>
      <w:r>
        <w:br w:type="page"/>
      </w:r>
    </w:p>
    <w:p w:rsidR="00F60B5F" w:rsidRPr="00674EC6" w:rsidRDefault="00F60B5F" w:rsidP="00667642">
      <w:pPr>
        <w:pStyle w:val="Heading2"/>
      </w:pPr>
      <w:r w:rsidRPr="00674EC6">
        <w:t>Investing in major infrastructure for the future</w:t>
      </w:r>
    </w:p>
    <w:p w:rsidR="00F60B5F" w:rsidRPr="00316ACF" w:rsidRDefault="00F60B5F" w:rsidP="00670892">
      <w:r w:rsidRPr="00316ACF">
        <w:t>High</w:t>
      </w:r>
      <w:r>
        <w:noBreakHyphen/>
      </w:r>
      <w:r w:rsidRPr="00316ACF">
        <w:t xml:space="preserve">quality economic infrastructure reduces business costs, attracts new private investment, and improves workforce participation and productivity. The Government is </w:t>
      </w:r>
      <w:r>
        <w:t xml:space="preserve">reforming infrastructure financing and delivery models and </w:t>
      </w:r>
      <w:r w:rsidRPr="00316ACF">
        <w:t>investing in major transformational infrastructure which will link people and products across the State, creating n</w:t>
      </w:r>
      <w:r>
        <w:t>ew markets and boosting growth.</w:t>
      </w:r>
    </w:p>
    <w:p w:rsidR="00F60B5F" w:rsidRPr="00316ACF" w:rsidRDefault="00F60B5F" w:rsidP="00670892">
      <w:r w:rsidRPr="00316ACF">
        <w:t xml:space="preserve">The Government has released the draft </w:t>
      </w:r>
      <w:r w:rsidRPr="00316ACF">
        <w:rPr>
          <w:i/>
        </w:rPr>
        <w:t>Plan Melbourne</w:t>
      </w:r>
      <w:r w:rsidRPr="00316ACF">
        <w:t xml:space="preserve"> for public comment. The new metropolitan planning strategy sets out an integrated approach to land use, transport planning and social and economic infrastructure delivery across Melbourne for the next 40 years. </w:t>
      </w:r>
    </w:p>
    <w:p w:rsidR="00F60B5F" w:rsidRPr="00316ACF" w:rsidRDefault="00F60B5F" w:rsidP="00670892">
      <w:r w:rsidRPr="00316ACF">
        <w:t xml:space="preserve">The draft strategy proposes to align infrastructure delivery </w:t>
      </w:r>
      <w:r>
        <w:t xml:space="preserve">with </w:t>
      </w:r>
      <w:r w:rsidRPr="00316ACF">
        <w:t>growth in urban renewal precincts and growth area</w:t>
      </w:r>
      <w:r>
        <w:t>s, make better use of under used</w:t>
      </w:r>
      <w:r w:rsidRPr="00316ACF">
        <w:t xml:space="preserve"> land and open up new funding sources by investigating private sector partnerships.</w:t>
      </w:r>
    </w:p>
    <w:p w:rsidR="00F60B5F" w:rsidRPr="00670892" w:rsidRDefault="00F60B5F" w:rsidP="00670892">
      <w:pPr>
        <w:pStyle w:val="Heading3"/>
      </w:pPr>
      <w:r w:rsidRPr="0060020B">
        <w:t xml:space="preserve">Major economic infrastructure </w:t>
      </w:r>
      <w:r w:rsidRPr="00670892">
        <w:t>projects</w:t>
      </w:r>
    </w:p>
    <w:p w:rsidR="00F60B5F" w:rsidRDefault="00F60B5F" w:rsidP="00670892">
      <w:r w:rsidRPr="006232D3">
        <w:t>The Government’s freight and logistics strategy</w:t>
      </w:r>
      <w:r>
        <w:t>,</w:t>
      </w:r>
      <w:r w:rsidRPr="006232D3">
        <w:t xml:space="preserve"> as outlined in </w:t>
      </w:r>
      <w:r w:rsidRPr="006232D3">
        <w:rPr>
          <w:i/>
        </w:rPr>
        <w:t>Victoria – The Freight State</w:t>
      </w:r>
      <w:r w:rsidRPr="006232D3">
        <w:t xml:space="preserve"> and </w:t>
      </w:r>
      <w:r w:rsidRPr="006232D3">
        <w:rPr>
          <w:i/>
        </w:rPr>
        <w:t>Plan Melbourne</w:t>
      </w:r>
      <w:r>
        <w:rPr>
          <w:i/>
        </w:rPr>
        <w:t>,</w:t>
      </w:r>
      <w:r w:rsidRPr="006232D3">
        <w:t xml:space="preserve"> aims to improve road freight movement through the East West Link project, upgrades to the</w:t>
      </w:r>
      <w:r>
        <w:t xml:space="preserve"> M80 Ring Road and constructing</w:t>
      </w:r>
      <w:r w:rsidRPr="006232D3">
        <w:t xml:space="preserve"> the Dingley Bypass</w:t>
      </w:r>
      <w:r>
        <w:t xml:space="preserve">. Construction work on the Dingley Bypass </w:t>
      </w:r>
      <w:r w:rsidRPr="006232D3">
        <w:t>is expected to commence in mid</w:t>
      </w:r>
      <w:r>
        <w:noBreakHyphen/>
      </w:r>
      <w:r w:rsidRPr="006232D3">
        <w:t>2014. Combined with the recent opening of the Dandenong Bypass (previously referred to as the Dingley Arterial)</w:t>
      </w:r>
      <w:r>
        <w:t>,</w:t>
      </w:r>
      <w:r w:rsidRPr="006232D3">
        <w:t xml:space="preserve"> this </w:t>
      </w:r>
      <w:r>
        <w:t xml:space="preserve">project </w:t>
      </w:r>
      <w:r w:rsidRPr="006232D3">
        <w:t>will provide a 19</w:t>
      </w:r>
      <w:r>
        <w:t xml:space="preserve"> kilometre </w:t>
      </w:r>
      <w:r w:rsidRPr="006232D3">
        <w:t xml:space="preserve">road link between key freight and commercial hubs in Moorabbin, Braeside and Dandenong South. </w:t>
      </w:r>
    </w:p>
    <w:p w:rsidR="00F60B5F" w:rsidRDefault="00F60B5F" w:rsidP="00670892">
      <w:pPr>
        <w:rPr>
          <w:szCs w:val="22"/>
        </w:rPr>
      </w:pPr>
      <w:r w:rsidRPr="00316ACF">
        <w:t xml:space="preserve">The Government is committed to </w:t>
      </w:r>
      <w:r w:rsidRPr="00316ACF">
        <w:rPr>
          <w:rFonts w:cs="Helv"/>
          <w:szCs w:val="22"/>
          <w:lang w:eastAsia="en-AU"/>
        </w:rPr>
        <w:t xml:space="preserve">delivering the East West Link project, with the first stage being the eastern section from the Eastern Freeway at Hoddle Street to City Link in Parkville. </w:t>
      </w:r>
      <w:r w:rsidRPr="00316ACF">
        <w:rPr>
          <w:szCs w:val="22"/>
        </w:rPr>
        <w:t xml:space="preserve">A competitive </w:t>
      </w:r>
      <w:r>
        <w:rPr>
          <w:szCs w:val="22"/>
        </w:rPr>
        <w:t>short</w:t>
      </w:r>
      <w:r>
        <w:rPr>
          <w:szCs w:val="22"/>
        </w:rPr>
        <w:noBreakHyphen/>
        <w:t xml:space="preserve">listed </w:t>
      </w:r>
      <w:r w:rsidRPr="00316ACF">
        <w:rPr>
          <w:szCs w:val="22"/>
        </w:rPr>
        <w:t>field of three consortia are vying for the opportunity to partner</w:t>
      </w:r>
      <w:r>
        <w:rPr>
          <w:szCs w:val="22"/>
        </w:rPr>
        <w:t xml:space="preserve"> with the Government to build</w:t>
      </w:r>
      <w:r w:rsidRPr="00316ACF">
        <w:rPr>
          <w:szCs w:val="22"/>
        </w:rPr>
        <w:t xml:space="preserve"> East West Link Stage 1. The </w:t>
      </w:r>
      <w:r>
        <w:rPr>
          <w:szCs w:val="22"/>
        </w:rPr>
        <w:t xml:space="preserve">Government </w:t>
      </w:r>
      <w:r w:rsidRPr="00316ACF">
        <w:rPr>
          <w:szCs w:val="22"/>
        </w:rPr>
        <w:t xml:space="preserve">has recently released a Comprehensive Impact Statement for public comment and </w:t>
      </w:r>
      <w:r>
        <w:rPr>
          <w:szCs w:val="22"/>
        </w:rPr>
        <w:t>the Linking Melbourne Authority is hosting</w:t>
      </w:r>
      <w:r w:rsidRPr="00316ACF">
        <w:rPr>
          <w:szCs w:val="22"/>
        </w:rPr>
        <w:t xml:space="preserve"> a number of public information displays. Contracts to deliver the project </w:t>
      </w:r>
      <w:r>
        <w:rPr>
          <w:szCs w:val="22"/>
        </w:rPr>
        <w:t xml:space="preserve">are expected to </w:t>
      </w:r>
      <w:r w:rsidRPr="00316ACF">
        <w:rPr>
          <w:szCs w:val="22"/>
        </w:rPr>
        <w:t>be awarded in late 2014 with completion anticipat</w:t>
      </w:r>
      <w:r>
        <w:rPr>
          <w:szCs w:val="22"/>
        </w:rPr>
        <w:t>ed by</w:t>
      </w:r>
      <w:r w:rsidRPr="00316ACF">
        <w:rPr>
          <w:szCs w:val="22"/>
        </w:rPr>
        <w:t xml:space="preserve"> 2019</w:t>
      </w:r>
      <w:r>
        <w:rPr>
          <w:szCs w:val="22"/>
        </w:rPr>
        <w:noBreakHyphen/>
      </w:r>
      <w:r w:rsidRPr="00316ACF">
        <w:rPr>
          <w:szCs w:val="22"/>
        </w:rPr>
        <w:t>20. Eas</w:t>
      </w:r>
      <w:r>
        <w:rPr>
          <w:szCs w:val="22"/>
        </w:rPr>
        <w:t>t West Link Stage 1 will ease</w:t>
      </w:r>
      <w:r w:rsidRPr="00316ACF">
        <w:rPr>
          <w:szCs w:val="22"/>
        </w:rPr>
        <w:t xml:space="preserve"> traffic congestion and </w:t>
      </w:r>
      <w:r>
        <w:rPr>
          <w:szCs w:val="22"/>
        </w:rPr>
        <w:t xml:space="preserve"> improve </w:t>
      </w:r>
      <w:r w:rsidRPr="00316ACF">
        <w:rPr>
          <w:szCs w:val="22"/>
        </w:rPr>
        <w:t>travel times, boost Victoria</w:t>
      </w:r>
      <w:r>
        <w:rPr>
          <w:szCs w:val="22"/>
        </w:rPr>
        <w:t>’s productivity and is expected to create 3 200 </w:t>
      </w:r>
      <w:r w:rsidRPr="00316ACF">
        <w:rPr>
          <w:szCs w:val="22"/>
        </w:rPr>
        <w:t>jobs during construction. The full East West Link will be an 18 kilometre cross</w:t>
      </w:r>
      <w:r>
        <w:rPr>
          <w:szCs w:val="22"/>
        </w:rPr>
        <w:noBreakHyphen/>
      </w:r>
      <w:r w:rsidRPr="00316ACF">
        <w:rPr>
          <w:szCs w:val="22"/>
        </w:rPr>
        <w:t xml:space="preserve">city road connection extending across Melbourne from the Eastern Freeway to the Western Ring Road. </w:t>
      </w:r>
    </w:p>
    <w:p w:rsidR="00F60B5F" w:rsidRPr="00316ACF" w:rsidRDefault="00F60B5F" w:rsidP="00354117">
      <w:pPr>
        <w:rPr>
          <w:szCs w:val="22"/>
        </w:rPr>
      </w:pPr>
      <w:r w:rsidRPr="006232D3">
        <w:rPr>
          <w:szCs w:val="22"/>
        </w:rPr>
        <w:t>The Commonwealth and Victorian Governments have jointly funded upgrades of three sections of the M80 Ring Road</w:t>
      </w:r>
      <w:r>
        <w:rPr>
          <w:szCs w:val="22"/>
        </w:rPr>
        <w:t>. These upgrades provide</w:t>
      </w:r>
      <w:r w:rsidRPr="006232D3">
        <w:rPr>
          <w:szCs w:val="22"/>
        </w:rPr>
        <w:t xml:space="preserve"> additional </w:t>
      </w:r>
      <w:r>
        <w:rPr>
          <w:szCs w:val="22"/>
        </w:rPr>
        <w:t>traffic lanes and incorporate</w:t>
      </w:r>
      <w:r w:rsidRPr="006232D3">
        <w:rPr>
          <w:szCs w:val="22"/>
        </w:rPr>
        <w:t xml:space="preserve"> managed motorways technology to improve traffic flows. Two of the upgrade sections have been </w:t>
      </w:r>
      <w:r>
        <w:rPr>
          <w:szCs w:val="22"/>
        </w:rPr>
        <w:t xml:space="preserve">completed </w:t>
      </w:r>
      <w:r w:rsidRPr="006232D3">
        <w:rPr>
          <w:szCs w:val="22"/>
        </w:rPr>
        <w:t xml:space="preserve">and works are </w:t>
      </w:r>
      <w:r>
        <w:rPr>
          <w:szCs w:val="22"/>
        </w:rPr>
        <w:t>progressing</w:t>
      </w:r>
      <w:r w:rsidRPr="006232D3">
        <w:rPr>
          <w:szCs w:val="22"/>
        </w:rPr>
        <w:t xml:space="preserve"> on the third section between Edgars and Plenty Roads.</w:t>
      </w:r>
    </w:p>
    <w:p w:rsidR="00F60B5F" w:rsidRDefault="00F60B5F">
      <w:pPr>
        <w:spacing w:after="0"/>
      </w:pPr>
      <w:r>
        <w:br w:type="page"/>
      </w:r>
    </w:p>
    <w:p w:rsidR="00F60B5F" w:rsidRDefault="00F60B5F" w:rsidP="00740D2E">
      <w:r w:rsidRPr="008A11AA">
        <w:t xml:space="preserve">The Bayside rail improvement project is a program of station upgrades and infrastructure enhancements to improve passenger services on the Frankston line. It also involves infrastructure upgrades to support the deployment of </w:t>
      </w:r>
      <w:r>
        <w:t xml:space="preserve">high performance </w:t>
      </w:r>
      <w:r w:rsidRPr="008A11AA">
        <w:t>X’Trapolis trains</w:t>
      </w:r>
      <w:r>
        <w:t xml:space="preserve"> </w:t>
      </w:r>
      <w:r w:rsidRPr="008A11AA">
        <w:t>on the Frankston, Werribee and Williamstown rail lines. Planning for the project is well advanced and it is expected the majority of station upgrades will be completed by the end of 2014. All works are expected to be completed by the end of 2015</w:t>
      </w:r>
      <w:r>
        <w:t>, including the deployment of X’</w:t>
      </w:r>
      <w:r w:rsidRPr="008A11AA">
        <w:t>Trapolis trains on the Frankston line.</w:t>
      </w:r>
    </w:p>
    <w:p w:rsidR="00F60B5F" w:rsidRPr="00D6492D" w:rsidRDefault="00F60B5F" w:rsidP="00670892">
      <w:pPr>
        <w:rPr>
          <w:szCs w:val="22"/>
        </w:rPr>
      </w:pPr>
      <w:r>
        <w:rPr>
          <w:szCs w:val="22"/>
        </w:rPr>
        <w:t>An investment</w:t>
      </w:r>
      <w:r w:rsidRPr="00D6492D">
        <w:rPr>
          <w:szCs w:val="22"/>
        </w:rPr>
        <w:t xml:space="preserve"> of $110</w:t>
      </w:r>
      <w:r>
        <w:rPr>
          <w:szCs w:val="22"/>
        </w:rPr>
        <w:t> million</w:t>
      </w:r>
      <w:r w:rsidRPr="00D6492D">
        <w:rPr>
          <w:szCs w:val="22"/>
        </w:rPr>
        <w:t xml:space="preserve"> was provided in the </w:t>
      </w:r>
      <w:r w:rsidRPr="0069074F">
        <w:rPr>
          <w:i/>
          <w:szCs w:val="22"/>
        </w:rPr>
        <w:t>2013</w:t>
      </w:r>
      <w:r>
        <w:rPr>
          <w:i/>
          <w:szCs w:val="22"/>
        </w:rPr>
        <w:noBreakHyphen/>
      </w:r>
      <w:r w:rsidRPr="0069074F">
        <w:rPr>
          <w:i/>
          <w:szCs w:val="22"/>
        </w:rPr>
        <w:t>14 Budget</w:t>
      </w:r>
      <w:r w:rsidRPr="00D6492D">
        <w:rPr>
          <w:szCs w:val="22"/>
        </w:rPr>
        <w:t xml:space="preserve"> </w:t>
      </w:r>
      <w:r>
        <w:rPr>
          <w:szCs w:val="22"/>
        </w:rPr>
        <w:t xml:space="preserve">to the Port of Hastings Development Authority to develop the Port of Hastings as </w:t>
      </w:r>
      <w:r w:rsidRPr="00BD4B4C">
        <w:rPr>
          <w:szCs w:val="22"/>
        </w:rPr>
        <w:t>Victoria’s second international</w:t>
      </w:r>
      <w:r w:rsidRPr="00D6492D">
        <w:rPr>
          <w:szCs w:val="22"/>
        </w:rPr>
        <w:t xml:space="preserve"> container port. With a significant increase expected in container throughput in Victoria, providing additional container port capacity will enable efficient handling of increased container trade and </w:t>
      </w:r>
      <w:r>
        <w:rPr>
          <w:szCs w:val="22"/>
        </w:rPr>
        <w:t xml:space="preserve">generate </w:t>
      </w:r>
      <w:r w:rsidRPr="00D6492D">
        <w:rPr>
          <w:szCs w:val="22"/>
        </w:rPr>
        <w:t>economic flow</w:t>
      </w:r>
      <w:r>
        <w:rPr>
          <w:szCs w:val="22"/>
        </w:rPr>
        <w:t xml:space="preserve"> </w:t>
      </w:r>
      <w:r w:rsidRPr="00D6492D">
        <w:rPr>
          <w:szCs w:val="22"/>
        </w:rPr>
        <w:t>on benefits for all of Victoria. The Port of Hastings Development Authority has started planning for the expansion of the port, including initiating a stakeholder engagement network</w:t>
      </w:r>
      <w:r>
        <w:rPr>
          <w:szCs w:val="22"/>
        </w:rPr>
        <w:t xml:space="preserve"> </w:t>
      </w:r>
      <w:r w:rsidRPr="00D6492D">
        <w:rPr>
          <w:szCs w:val="22"/>
        </w:rPr>
        <w:t>as part of its consultation strategy. Completing the Port of Hastings project will significantly expand Victoria’s container capacity and complements the current $1.6</w:t>
      </w:r>
      <w:r>
        <w:rPr>
          <w:szCs w:val="22"/>
        </w:rPr>
        <w:t> billion</w:t>
      </w:r>
      <w:r w:rsidRPr="00D6492D">
        <w:rPr>
          <w:szCs w:val="22"/>
        </w:rPr>
        <w:t xml:space="preserve"> expansion of container capacity at the Port of Melbourne.</w:t>
      </w:r>
    </w:p>
    <w:p w:rsidR="00F60B5F" w:rsidRPr="0060020B" w:rsidRDefault="00F60B5F" w:rsidP="00670892">
      <w:pPr>
        <w:pStyle w:val="Heading3"/>
      </w:pPr>
      <w:r w:rsidRPr="0060020B">
        <w:t>Infrastr</w:t>
      </w:r>
      <w:r>
        <w:t>ucture for a growing population</w:t>
      </w:r>
    </w:p>
    <w:p w:rsidR="00F60B5F" w:rsidRDefault="00F60B5F" w:rsidP="00670892">
      <w:r w:rsidRPr="00D6492D">
        <w:rPr>
          <w:szCs w:val="22"/>
        </w:rPr>
        <w:t>At the same time, the Government is investing in new infrastructure to meet the needs of a growing population</w:t>
      </w:r>
      <w:r w:rsidRPr="00316ACF">
        <w:t xml:space="preserve">, secure future economic growth and enhance liveability. </w:t>
      </w:r>
    </w:p>
    <w:p w:rsidR="00F60B5F" w:rsidRDefault="00F60B5F" w:rsidP="00670892">
      <w:r w:rsidRPr="009138E9">
        <w:t xml:space="preserve">The Government has significantly progressed a number of major projects to develop or upgrade Victorian hospitals including: procuring key contractors for the new Monash Children’s Hospital, the Royal Victorian Eye and Ear Hospital redevelopment, the construction of the new Community Hospital in Southern Geelong, the redevelopment of Box Hill Hospital, investment in the new Bendigo Hospital and the construction of the Victorian Comprehensive Cancer Centre. </w:t>
      </w:r>
    </w:p>
    <w:p w:rsidR="00F60B5F" w:rsidRPr="00316ACF" w:rsidRDefault="00F60B5F" w:rsidP="00670892">
      <w:r w:rsidRPr="00316ACF">
        <w:t>The upgrade of the Ringwood railway station will deliver a modern integrated hub for commuters and complement more private sector investment in the adjacent retail precinct. This project demonstrates how targeted investments, integrated transport and urban planning can boost employment and deliver better community outcomes. Detailed design is well underway and construction is expected to commence in 2014.</w:t>
      </w:r>
    </w:p>
    <w:p w:rsidR="00F60B5F" w:rsidRPr="00316ACF" w:rsidRDefault="00F60B5F" w:rsidP="00670892">
      <w:pPr>
        <w:rPr>
          <w:rFonts w:cs="Garamond"/>
          <w:color w:val="000000"/>
          <w:szCs w:val="22"/>
          <w:lang w:eastAsia="en-AU"/>
        </w:rPr>
      </w:pPr>
      <w:r w:rsidRPr="006232D3">
        <w:rPr>
          <w:rFonts w:cs="Garamond"/>
          <w:color w:val="000000"/>
          <w:szCs w:val="22"/>
          <w:lang w:eastAsia="en-AU"/>
        </w:rPr>
        <w:t>As part of the Metro Level Crossing Blitz program</w:t>
      </w:r>
      <w:r>
        <w:rPr>
          <w:rFonts w:cs="Garamond"/>
          <w:color w:val="000000"/>
          <w:szCs w:val="22"/>
          <w:lang w:eastAsia="en-AU"/>
        </w:rPr>
        <w:t>,</w:t>
      </w:r>
      <w:r w:rsidRPr="006232D3">
        <w:rPr>
          <w:rFonts w:cs="Garamond"/>
          <w:color w:val="000000"/>
          <w:szCs w:val="22"/>
          <w:lang w:eastAsia="en-AU"/>
        </w:rPr>
        <w:t xml:space="preserve"> the </w:t>
      </w:r>
      <w:r w:rsidRPr="006232D3">
        <w:rPr>
          <w:rFonts w:cs="Garamond"/>
          <w:i/>
          <w:color w:val="000000"/>
          <w:szCs w:val="22"/>
          <w:lang w:eastAsia="en-AU"/>
        </w:rPr>
        <w:t>2013</w:t>
      </w:r>
      <w:r>
        <w:rPr>
          <w:rFonts w:cs="Garamond"/>
          <w:i/>
          <w:color w:val="000000"/>
          <w:szCs w:val="22"/>
          <w:lang w:eastAsia="en-AU"/>
        </w:rPr>
        <w:noBreakHyphen/>
      </w:r>
      <w:r w:rsidRPr="006232D3">
        <w:rPr>
          <w:rFonts w:cs="Garamond"/>
          <w:i/>
          <w:color w:val="000000"/>
          <w:szCs w:val="22"/>
          <w:lang w:eastAsia="en-AU"/>
        </w:rPr>
        <w:t>14 Budget</w:t>
      </w:r>
      <w:r w:rsidRPr="006232D3">
        <w:rPr>
          <w:rFonts w:cs="Garamond"/>
          <w:color w:val="000000"/>
          <w:szCs w:val="22"/>
          <w:lang w:eastAsia="en-AU"/>
        </w:rPr>
        <w:t xml:space="preserve"> funded e</w:t>
      </w:r>
      <w:r>
        <w:rPr>
          <w:rFonts w:cs="Garamond"/>
          <w:color w:val="000000"/>
          <w:szCs w:val="22"/>
          <w:lang w:eastAsia="en-AU"/>
        </w:rPr>
        <w:t>arly works as a step towards removing railway level crossings</w:t>
      </w:r>
      <w:r w:rsidRPr="006232D3">
        <w:rPr>
          <w:rFonts w:cs="Garamond"/>
          <w:color w:val="000000"/>
          <w:szCs w:val="22"/>
          <w:lang w:eastAsia="en-AU"/>
        </w:rPr>
        <w:t xml:space="preserve"> at Main Road (St Albans), North Road (Ormond), Blackburn Road (Blackburn),</w:t>
      </w:r>
      <w:r>
        <w:rPr>
          <w:rFonts w:cs="Garamond"/>
          <w:color w:val="000000"/>
          <w:szCs w:val="22"/>
          <w:lang w:eastAsia="en-AU"/>
        </w:rPr>
        <w:t xml:space="preserve"> and</w:t>
      </w:r>
      <w:r w:rsidRPr="006232D3">
        <w:rPr>
          <w:rFonts w:cs="Garamond"/>
          <w:color w:val="000000"/>
          <w:szCs w:val="22"/>
          <w:lang w:eastAsia="en-AU"/>
        </w:rPr>
        <w:t xml:space="preserve"> Mountain Highway and Scoresby Road (Bayswater). Funding was also provided to undertake planning for </w:t>
      </w:r>
      <w:r>
        <w:rPr>
          <w:rFonts w:cs="Garamond"/>
          <w:color w:val="000000"/>
          <w:szCs w:val="22"/>
          <w:lang w:eastAsia="en-AU"/>
        </w:rPr>
        <w:t>removing</w:t>
      </w:r>
      <w:r w:rsidRPr="006232D3">
        <w:rPr>
          <w:rFonts w:cs="Garamond"/>
          <w:color w:val="000000"/>
          <w:szCs w:val="22"/>
          <w:lang w:eastAsia="en-AU"/>
        </w:rPr>
        <w:t xml:space="preserve"> </w:t>
      </w:r>
      <w:r>
        <w:rPr>
          <w:rFonts w:cs="Garamond"/>
          <w:color w:val="000000"/>
          <w:szCs w:val="22"/>
          <w:lang w:eastAsia="en-AU"/>
        </w:rPr>
        <w:t xml:space="preserve">level crossings at </w:t>
      </w:r>
      <w:r w:rsidRPr="006232D3">
        <w:rPr>
          <w:rFonts w:cs="Garamond"/>
          <w:color w:val="000000"/>
          <w:szCs w:val="22"/>
          <w:lang w:eastAsia="en-AU"/>
        </w:rPr>
        <w:t>Murrumbeena Road (Murrumbeena) and Burke Road (Glen Iris)</w:t>
      </w:r>
      <w:r>
        <w:rPr>
          <w:rFonts w:cs="Garamond"/>
          <w:color w:val="000000"/>
          <w:szCs w:val="22"/>
          <w:lang w:eastAsia="en-AU"/>
        </w:rPr>
        <w:t>.</w:t>
      </w:r>
      <w:r w:rsidRPr="006232D3">
        <w:rPr>
          <w:rFonts w:cs="Garamond"/>
          <w:color w:val="000000"/>
          <w:szCs w:val="22"/>
          <w:lang w:eastAsia="en-AU"/>
        </w:rPr>
        <w:t xml:space="preserve"> </w:t>
      </w:r>
      <w:r>
        <w:rPr>
          <w:rFonts w:cs="Garamond"/>
          <w:color w:val="000000"/>
          <w:szCs w:val="22"/>
          <w:lang w:eastAsia="en-AU"/>
        </w:rPr>
        <w:t xml:space="preserve">These </w:t>
      </w:r>
      <w:r w:rsidRPr="006232D3">
        <w:rPr>
          <w:rFonts w:cs="Garamond"/>
          <w:color w:val="000000"/>
          <w:szCs w:val="22"/>
          <w:lang w:eastAsia="en-AU"/>
        </w:rPr>
        <w:t xml:space="preserve">activities </w:t>
      </w:r>
      <w:r>
        <w:rPr>
          <w:rFonts w:cs="Garamond"/>
          <w:color w:val="000000"/>
          <w:szCs w:val="22"/>
          <w:lang w:eastAsia="en-AU"/>
        </w:rPr>
        <w:t>have commenced</w:t>
      </w:r>
      <w:r w:rsidRPr="006232D3">
        <w:rPr>
          <w:rFonts w:cs="Garamond"/>
          <w:color w:val="000000"/>
          <w:szCs w:val="22"/>
          <w:lang w:eastAsia="en-AU"/>
        </w:rPr>
        <w:t xml:space="preserve"> and are progressing according to schedule</w:t>
      </w:r>
      <w:r>
        <w:rPr>
          <w:rFonts w:cs="Garamond"/>
          <w:color w:val="000000"/>
          <w:szCs w:val="22"/>
          <w:lang w:eastAsia="en-AU"/>
        </w:rPr>
        <w:t>.</w:t>
      </w:r>
    </w:p>
    <w:p w:rsidR="00F60B5F" w:rsidRDefault="00F60B5F">
      <w:pPr>
        <w:spacing w:after="0"/>
        <w:rPr>
          <w:rFonts w:ascii="Calibri" w:hAnsi="Calibri"/>
          <w:b/>
          <w:i/>
          <w:kern w:val="28"/>
          <w:sz w:val="24"/>
          <w:szCs w:val="22"/>
        </w:rPr>
      </w:pPr>
      <w:r>
        <w:br w:type="page"/>
      </w:r>
    </w:p>
    <w:p w:rsidR="00F60B5F" w:rsidRPr="00316ACF" w:rsidRDefault="00F60B5F" w:rsidP="00AB232D">
      <w:pPr>
        <w:pStyle w:val="Heading3"/>
      </w:pPr>
      <w:r w:rsidRPr="00316ACF">
        <w:t>Better asset management and infrastructure value for money</w:t>
      </w:r>
    </w:p>
    <w:p w:rsidR="00F60B5F" w:rsidRDefault="00F60B5F" w:rsidP="00AB232D">
      <w:r>
        <w:t>Better management of the State’s balance sheet will ensure government</w:t>
      </w:r>
      <w:r>
        <w:noBreakHyphen/>
        <w:t>owned assets are put to best economic use, and reform of infrastructure financing and delivery models offer new opportunities to improve economic and social infrastructure.</w:t>
      </w:r>
    </w:p>
    <w:p w:rsidR="00F60B5F" w:rsidRDefault="00F60B5F" w:rsidP="00AB232D">
      <w:r>
        <w:t>The Government is streamlining planning and other policies and processes associated with selling government</w:t>
      </w:r>
      <w:r>
        <w:noBreakHyphen/>
        <w:t>owned land to ensure that surplus land can be disposed of more efficiently, thereby encouraging sensible redevelopment and new housing and employment opportunities in Victoria’s established neighbourhoods. The Government has also agreed to a new financial framework to better manage surplus government land.</w:t>
      </w:r>
    </w:p>
    <w:p w:rsidR="00F60B5F" w:rsidRPr="00316ACF" w:rsidRDefault="00F60B5F" w:rsidP="00AB232D">
      <w:r>
        <w:t>Reforms to the public private partnership (PPP) model announced in May 2013 will help better engage the private sector to drive innovation and efficiency in infrastructure delivery. Changes include adopting modified financing structures, including a greater range of services and streamlining PPP tender processes. These reforms are currently being applied on the East West Link Stage1 project and the Ravenhall Prison project tender processes. Value for money will continue to be tested through a robust Public Sector Comparator benchmark. The assumed alternative procurement option will be removed and where appropriate the comparator will be an affordability benchmark with a scope ladder. Work continues to assess the suitability of the PPP model for smaller, less complex projects.</w:t>
      </w:r>
    </w:p>
    <w:p w:rsidR="00F60B5F" w:rsidRPr="00316ACF" w:rsidRDefault="00F60B5F" w:rsidP="00667642">
      <w:pPr>
        <w:pStyle w:val="Heading2"/>
      </w:pPr>
      <w:r w:rsidRPr="00316ACF">
        <w:t>Building the skills and capabilities of Victoria’s workforce</w:t>
      </w:r>
    </w:p>
    <w:p w:rsidR="00F60B5F" w:rsidRDefault="00F60B5F" w:rsidP="00667642">
      <w:r w:rsidRPr="00316ACF">
        <w:t>Improving the educational outcomes of Victorian students and the skills of the Victorian workforce</w:t>
      </w:r>
      <w:r>
        <w:t xml:space="preserve"> will</w:t>
      </w:r>
      <w:r w:rsidRPr="00316ACF">
        <w:t xml:space="preserve"> </w:t>
      </w:r>
      <w:r>
        <w:t xml:space="preserve">boost </w:t>
      </w:r>
      <w:r w:rsidRPr="00316ACF">
        <w:t>productivi</w:t>
      </w:r>
      <w:r>
        <w:t xml:space="preserve">ty and workforce participation as well as enabling </w:t>
      </w:r>
      <w:r w:rsidRPr="00316ACF">
        <w:t xml:space="preserve">the workforce to respond </w:t>
      </w:r>
      <w:r>
        <w:t xml:space="preserve">to new economic opportunities. </w:t>
      </w:r>
    </w:p>
    <w:p w:rsidR="00F60B5F" w:rsidRDefault="00F60B5F" w:rsidP="00670892">
      <w:pPr>
        <w:pStyle w:val="Heading3"/>
      </w:pPr>
      <w:r>
        <w:t>A responsive training system</w:t>
      </w:r>
    </w:p>
    <w:p w:rsidR="00F60B5F" w:rsidRPr="0060020B" w:rsidRDefault="00F60B5F" w:rsidP="00667642">
      <w:pPr>
        <w:rPr>
          <w:rFonts w:ascii="Calibri" w:hAnsi="Calibri"/>
          <w:b/>
          <w:i/>
          <w:kern w:val="28"/>
          <w:szCs w:val="22"/>
        </w:rPr>
      </w:pPr>
      <w:r w:rsidRPr="002C7CFF">
        <w:t>Victoria’s training system remains the most responsive in Australia to the changing needs of the labour market</w:t>
      </w:r>
      <w:r>
        <w:t>.</w:t>
      </w:r>
      <w:r w:rsidRPr="002C7CFF">
        <w:t xml:space="preserve"> Re</w:t>
      </w:r>
      <w:r>
        <w:t>forms to the system led to a 76 per cent</w:t>
      </w:r>
      <w:r w:rsidRPr="002C7CFF">
        <w:t xml:space="preserve"> increase in government funded enrolments between 2008 and 2012. Data from the National Centre for Vocatio</w:t>
      </w:r>
      <w:r>
        <w:t>nal Education Research indicate</w:t>
      </w:r>
      <w:r w:rsidRPr="002C7CFF">
        <w:t xml:space="preserve"> that in 2012 Victoria had the</w:t>
      </w:r>
      <w:r>
        <w:t xml:space="preserve"> highest participation rate in vocational education and training</w:t>
      </w:r>
      <w:r w:rsidRPr="002C7CFF">
        <w:t xml:space="preserve"> of 15 to 64 year olds </w:t>
      </w:r>
      <w:r w:rsidRPr="00CE2391">
        <w:t>of</w:t>
      </w:r>
      <w:r>
        <w:t xml:space="preserve"> </w:t>
      </w:r>
      <w:r w:rsidRPr="002C7CFF">
        <w:t>all states and territories.</w:t>
      </w:r>
    </w:p>
    <w:p w:rsidR="00F60B5F" w:rsidRPr="002C7CFF" w:rsidRDefault="00F60B5F" w:rsidP="00670892">
      <w:r w:rsidRPr="002C7CFF">
        <w:t xml:space="preserve">The </w:t>
      </w:r>
      <w:r w:rsidRPr="008D4DE9">
        <w:rPr>
          <w:i/>
        </w:rPr>
        <w:t>2013</w:t>
      </w:r>
      <w:r>
        <w:rPr>
          <w:i/>
        </w:rPr>
        <w:noBreakHyphen/>
      </w:r>
      <w:r w:rsidRPr="008D4DE9">
        <w:rPr>
          <w:i/>
        </w:rPr>
        <w:t>14 Budget</w:t>
      </w:r>
      <w:r w:rsidRPr="002C7CFF">
        <w:t xml:space="preserve"> provided $2.3</w:t>
      </w:r>
      <w:r>
        <w:t> billion</w:t>
      </w:r>
      <w:r w:rsidRPr="002C7CFF">
        <w:t xml:space="preserve"> for higher education and skills</w:t>
      </w:r>
      <w:r>
        <w:t xml:space="preserve"> for 2013</w:t>
      </w:r>
      <w:r>
        <w:noBreakHyphen/>
        <w:t xml:space="preserve">14. </w:t>
      </w:r>
      <w:r w:rsidRPr="002C7CFF">
        <w:t>Enrolments have dropped back in 2013 from unusually high levels in 2012, but remain much higher than in 2011, and have shifted towards training in courses that generate high value for t</w:t>
      </w:r>
      <w:r>
        <w:t>he community. Data from the September quarter 2013 show that 70 per cent</w:t>
      </w:r>
      <w:r w:rsidRPr="002C7CFF">
        <w:t xml:space="preserve"> of commencing enrolments were in highest value courses compared with</w:t>
      </w:r>
      <w:r>
        <w:t xml:space="preserve"> </w:t>
      </w:r>
      <w:r w:rsidRPr="002C7CFF">
        <w:t>49</w:t>
      </w:r>
      <w:r>
        <w:t> per cent at in the first half of 2013</w:t>
      </w:r>
      <w:r w:rsidRPr="002C7CFF">
        <w:t xml:space="preserve">. </w:t>
      </w:r>
    </w:p>
    <w:p w:rsidR="00F60B5F" w:rsidRDefault="00F60B5F">
      <w:pPr>
        <w:spacing w:after="0"/>
      </w:pPr>
      <w:r>
        <w:br w:type="page"/>
      </w:r>
    </w:p>
    <w:p w:rsidR="00F60B5F" w:rsidRPr="002C7CFF" w:rsidRDefault="00F60B5F" w:rsidP="00670892">
      <w:r w:rsidRPr="002C7CFF">
        <w:t xml:space="preserve">The training market is continuing to develop and providers are becoming more responsive to industry need. The Government is facilitating market development by </w:t>
      </w:r>
      <w:r>
        <w:t>enabling</w:t>
      </w:r>
      <w:r w:rsidRPr="002C7CFF">
        <w:t xml:space="preserve"> po</w:t>
      </w:r>
      <w:r>
        <w:t>tential students</w:t>
      </w:r>
      <w:r w:rsidRPr="002C7CFF">
        <w:t xml:space="preserve"> to make informed decisions about their training choices. For example, the Victorian Skills Gateway</w:t>
      </w:r>
      <w:r>
        <w:t xml:space="preserve"> includes advice about courses, </w:t>
      </w:r>
      <w:r w:rsidRPr="002C7CFF">
        <w:t>training providers, po</w:t>
      </w:r>
      <w:r>
        <w:t>ssible employment opportunities</w:t>
      </w:r>
      <w:r w:rsidRPr="002C7CFF">
        <w:t xml:space="preserve"> and government assistance with the cost of training. </w:t>
      </w:r>
      <w:r w:rsidRPr="00206008">
        <w:t xml:space="preserve">Government and business groups have also collaborated to develop a website, </w:t>
      </w:r>
      <w:r w:rsidRPr="00206008">
        <w:rPr>
          <w:i/>
        </w:rPr>
        <w:t>Rate Your Training</w:t>
      </w:r>
      <w:r>
        <w:rPr>
          <w:i/>
        </w:rPr>
        <w:t>,</w:t>
      </w:r>
      <w:r w:rsidRPr="00206008">
        <w:t xml:space="preserve"> so that employers can rate their experience with a registered training organisation in a particular area of study, and view and compare the opinions of other employers.</w:t>
      </w:r>
    </w:p>
    <w:p w:rsidR="00F60B5F" w:rsidRDefault="00F60B5F" w:rsidP="000D5D4C">
      <w:pPr>
        <w:rPr>
          <w:b/>
          <w:i/>
        </w:rPr>
      </w:pPr>
      <w:r w:rsidRPr="00546630">
        <w:t>The Government is also</w:t>
      </w:r>
      <w:r>
        <w:t xml:space="preserve"> undertaking governance reforms </w:t>
      </w:r>
      <w:r w:rsidRPr="00546630">
        <w:t>to empower TAFEs to compete in an open, competitive market. This includes introducing new commercial an</w:t>
      </w:r>
      <w:r>
        <w:t>d strategic planning guidelines and</w:t>
      </w:r>
      <w:r w:rsidRPr="00546630">
        <w:t xml:space="preserve"> changes to board composition, working towards giving TAFEs greater control of their asset base and reducing regulatory burden.</w:t>
      </w:r>
    </w:p>
    <w:p w:rsidR="00F60B5F" w:rsidRPr="00316ACF" w:rsidRDefault="00F60B5F" w:rsidP="00670892">
      <w:pPr>
        <w:pStyle w:val="Heading3"/>
      </w:pPr>
      <w:r w:rsidRPr="00316ACF">
        <w:t>School funding and reforms</w:t>
      </w:r>
    </w:p>
    <w:p w:rsidR="00F60B5F" w:rsidRPr="00205BCF" w:rsidRDefault="00F60B5F" w:rsidP="00667642">
      <w:pPr>
        <w:rPr>
          <w:b/>
        </w:rPr>
      </w:pPr>
      <w:r w:rsidRPr="00205BCF">
        <w:t xml:space="preserve">The Government is committed to lifting the performance of the school system to world leading standards in the next 10 years. The Government will work with the Commonwealth to ensure that schools have the funding they need to achieve this goal. </w:t>
      </w:r>
    </w:p>
    <w:p w:rsidR="00F60B5F" w:rsidRPr="00205BCF" w:rsidRDefault="00F60B5F" w:rsidP="00667642">
      <w:pPr>
        <w:rPr>
          <w:b/>
        </w:rPr>
      </w:pPr>
      <w:r w:rsidRPr="00205BCF">
        <w:t xml:space="preserve">The Government’s reform agenda for school education, outlined in </w:t>
      </w:r>
      <w:r w:rsidRPr="00205BCF">
        <w:rPr>
          <w:i/>
        </w:rPr>
        <w:t>Towards Victoria as a Learning Community</w:t>
      </w:r>
      <w:r w:rsidRPr="00205BCF">
        <w:t xml:space="preserve"> and the recently released </w:t>
      </w:r>
      <w:r w:rsidRPr="00205BCF">
        <w:rPr>
          <w:i/>
        </w:rPr>
        <w:t>From new directions to action: World class teaching and school leadership</w:t>
      </w:r>
      <w:r w:rsidRPr="00205BCF">
        <w:t>, is focused on improving teaching and leadership quality and facilitating this through greater school</w:t>
      </w:r>
      <w:r>
        <w:noBreakHyphen/>
      </w:r>
      <w:r w:rsidRPr="00205BCF">
        <w:t>level autonomy, accountability and support.</w:t>
      </w:r>
    </w:p>
    <w:p w:rsidR="00F60B5F" w:rsidRDefault="00F60B5F" w:rsidP="00667642">
      <w:pPr>
        <w:rPr>
          <w:b/>
        </w:rPr>
      </w:pPr>
      <w:r w:rsidRPr="0053684D">
        <w:rPr>
          <w:i/>
        </w:rPr>
        <w:t>From new directions to action: World class teaching and school leadership</w:t>
      </w:r>
      <w:r>
        <w:t xml:space="preserve"> sets out</w:t>
      </w:r>
      <w:r w:rsidRPr="00205BCF">
        <w:t xml:space="preserve"> initiatives that will be p</w:t>
      </w:r>
      <w:r>
        <w:t>ursued in three priority areas:</w:t>
      </w:r>
    </w:p>
    <w:p w:rsidR="00F60B5F" w:rsidRPr="00205BCF" w:rsidRDefault="00F60B5F" w:rsidP="00205BCF">
      <w:pPr>
        <w:pStyle w:val="BulletText"/>
      </w:pPr>
      <w:r w:rsidRPr="00205BCF">
        <w:t>attract people into teaching – attract better quality teaching candidates and improve their preparation;</w:t>
      </w:r>
    </w:p>
    <w:p w:rsidR="00F60B5F" w:rsidRPr="00205BCF" w:rsidRDefault="00F60B5F" w:rsidP="00205BCF">
      <w:pPr>
        <w:pStyle w:val="BulletText"/>
      </w:pPr>
      <w:r w:rsidRPr="00205BCF">
        <w:t>create a high</w:t>
      </w:r>
      <w:r>
        <w:noBreakHyphen/>
      </w:r>
      <w:r w:rsidRPr="00205BCF">
        <w:t>performance profession – stimulate a culture of excellence and effective professional development; and</w:t>
      </w:r>
    </w:p>
    <w:p w:rsidR="00F60B5F" w:rsidRPr="00205BCF" w:rsidRDefault="00F60B5F" w:rsidP="00205BCF">
      <w:pPr>
        <w:pStyle w:val="BulletText"/>
      </w:pPr>
      <w:r w:rsidRPr="00205BCF">
        <w:t xml:space="preserve">provide strong direction and support – elevate the role of leadership at school and system levels. </w:t>
      </w:r>
    </w:p>
    <w:p w:rsidR="00F60B5F" w:rsidRDefault="00F60B5F" w:rsidP="00667642">
      <w:pPr>
        <w:rPr>
          <w:b/>
        </w:rPr>
      </w:pPr>
      <w:r w:rsidRPr="00205BCF">
        <w:rPr>
          <w:i/>
        </w:rPr>
        <w:t>Towards Victoria as a learning community</w:t>
      </w:r>
      <w:r w:rsidRPr="00205BCF">
        <w:t xml:space="preserve"> focuses on new expectations for professional practice, increased autonomy for schools, rigorous accountability, enhanced support for schools and a commitment to strengthening partnerships. Further detail on school evaluation and accountability arrangements is provided in the recently released </w:t>
      </w:r>
      <w:r w:rsidRPr="00205BCF">
        <w:rPr>
          <w:i/>
        </w:rPr>
        <w:t>Overview</w:t>
      </w:r>
      <w:r w:rsidRPr="00205BCF">
        <w:t xml:space="preserve"> and </w:t>
      </w:r>
      <w:r w:rsidRPr="00205BCF">
        <w:rPr>
          <w:i/>
        </w:rPr>
        <w:t>School Accountability</w:t>
      </w:r>
      <w:r w:rsidRPr="00205BCF">
        <w:t xml:space="preserve"> papers in the </w:t>
      </w:r>
      <w:r w:rsidRPr="00205BCF">
        <w:rPr>
          <w:i/>
        </w:rPr>
        <w:t>Professional Practice and Performance for Improved Learning</w:t>
      </w:r>
      <w:r w:rsidRPr="00205BCF">
        <w:t xml:space="preserve"> series. These papers establish a consistent and transparent way of measuring school performance, a process for school evaluation, and, where necessary, targeted intervention and support.</w:t>
      </w:r>
      <w:r w:rsidRPr="002B4E95">
        <w:t xml:space="preserve"> </w:t>
      </w:r>
    </w:p>
    <w:p w:rsidR="00F60B5F" w:rsidRDefault="00F60B5F">
      <w:pPr>
        <w:spacing w:after="0"/>
        <w:rPr>
          <w:rFonts w:ascii="Calibri" w:hAnsi="Calibri"/>
          <w:b/>
          <w:kern w:val="28"/>
          <w:sz w:val="26"/>
          <w:szCs w:val="22"/>
        </w:rPr>
      </w:pPr>
      <w:r>
        <w:br w:type="page"/>
      </w:r>
    </w:p>
    <w:p w:rsidR="00F60B5F" w:rsidRPr="00316ACF" w:rsidRDefault="00F60B5F" w:rsidP="002B4E95">
      <w:pPr>
        <w:pStyle w:val="Heading2"/>
      </w:pPr>
      <w:r w:rsidRPr="00316ACF">
        <w:t>Ensuring Victoria is a competitive and low</w:t>
      </w:r>
      <w:r>
        <w:t xml:space="preserve"> </w:t>
      </w:r>
      <w:r w:rsidRPr="00316ACF">
        <w:t>cost place to do business</w:t>
      </w:r>
    </w:p>
    <w:p w:rsidR="00F60B5F" w:rsidRPr="00316ACF" w:rsidRDefault="00F60B5F" w:rsidP="00670892">
      <w:r w:rsidRPr="00316ACF">
        <w:t xml:space="preserve">The Government </w:t>
      </w:r>
      <w:r>
        <w:t xml:space="preserve">is providing </w:t>
      </w:r>
      <w:r w:rsidRPr="00316ACF">
        <w:t>a more competitive bu</w:t>
      </w:r>
      <w:r>
        <w:t xml:space="preserve">siness environment in Victoria. </w:t>
      </w:r>
    </w:p>
    <w:p w:rsidR="00F60B5F" w:rsidRDefault="00F60B5F" w:rsidP="00740D2E">
      <w:pPr>
        <w:pStyle w:val="Heading3"/>
      </w:pPr>
      <w:r w:rsidRPr="00B658E0">
        <w:t>Planning and land use reforms</w:t>
      </w:r>
    </w:p>
    <w:p w:rsidR="00F60B5F" w:rsidRDefault="00F60B5F" w:rsidP="00670892">
      <w:r w:rsidRPr="001B3B57">
        <w:t>Reforms to Victoria’s residential, commercial, industrial and rural planning zones announced in July</w:t>
      </w:r>
      <w:r>
        <w:t xml:space="preserve"> 2012 provide greater certainty</w:t>
      </w:r>
      <w:r w:rsidRPr="001B3B57">
        <w:t xml:space="preserve"> </w:t>
      </w:r>
      <w:r>
        <w:t xml:space="preserve">by </w:t>
      </w:r>
      <w:r w:rsidRPr="001B3B57">
        <w:t xml:space="preserve">clarifying planning regulations for businesses. New commercial zones will provide greater flexibility and growth opportunities for Victoria’s commercial and business centres. Amendments to replace the </w:t>
      </w:r>
      <w:r>
        <w:t xml:space="preserve">previous </w:t>
      </w:r>
      <w:r w:rsidRPr="001B3B57">
        <w:t xml:space="preserve">five </w:t>
      </w:r>
      <w:r>
        <w:t xml:space="preserve">business </w:t>
      </w:r>
      <w:r w:rsidRPr="001B3B57">
        <w:t xml:space="preserve">zones with two </w:t>
      </w:r>
      <w:r>
        <w:t xml:space="preserve">commercial zones </w:t>
      </w:r>
      <w:r w:rsidRPr="001B3B57">
        <w:t>came into effect in July 2013. The reforms allow Victoria’s planning zones to better respond to present</w:t>
      </w:r>
      <w:r>
        <w:t xml:space="preserve"> </w:t>
      </w:r>
      <w:r w:rsidRPr="001B3B57">
        <w:t>day requirements, support business investment and job creation, and provide greater clarity on what development can be expected in a given area.</w:t>
      </w:r>
    </w:p>
    <w:p w:rsidR="00F60B5F" w:rsidRDefault="00F60B5F" w:rsidP="00740D2E">
      <w:pPr>
        <w:pStyle w:val="Heading3"/>
      </w:pPr>
      <w:r w:rsidRPr="00B658E0">
        <w:t>Progress towards red tape target reduction</w:t>
      </w:r>
      <w:r>
        <w:t xml:space="preserve"> </w:t>
      </w:r>
    </w:p>
    <w:p w:rsidR="00F60B5F" w:rsidRPr="00933991" w:rsidRDefault="00F60B5F" w:rsidP="00D95F9D">
      <w:r>
        <w:t>T</w:t>
      </w:r>
      <w:r w:rsidRPr="00933991">
        <w:t>he Governm</w:t>
      </w:r>
      <w:r>
        <w:t>ent is committed to reducing regulatory</w:t>
      </w:r>
      <w:r w:rsidRPr="00933991">
        <w:t xml:space="preserve"> costs imposed on businesses, not</w:t>
      </w:r>
      <w:r>
        <w:noBreakHyphen/>
      </w:r>
      <w:r w:rsidRPr="00933991">
        <w:t>for</w:t>
      </w:r>
      <w:r>
        <w:noBreakHyphen/>
      </w:r>
      <w:r w:rsidRPr="00933991">
        <w:t xml:space="preserve">profit organisations, individuals and government services providers by </w:t>
      </w:r>
      <w:r>
        <w:t>25 per cent</w:t>
      </w:r>
      <w:r w:rsidRPr="00933991">
        <w:t xml:space="preserve"> b</w:t>
      </w:r>
      <w:r>
        <w:t>y July 2014. To date, the red tape reduction p</w:t>
      </w:r>
      <w:r w:rsidRPr="00364D26">
        <w:t xml:space="preserve">rogram has identified red tape savings </w:t>
      </w:r>
      <w:r>
        <w:t>in excess of $6</w:t>
      </w:r>
      <w:r w:rsidRPr="00364D26">
        <w:t>00</w:t>
      </w:r>
      <w:r>
        <w:t> million</w:t>
      </w:r>
      <w:r w:rsidRPr="00364D26">
        <w:t xml:space="preserve"> a year , much of which has been independently verified or is</w:t>
      </w:r>
      <w:r>
        <w:t xml:space="preserve"> in the process of verification. </w:t>
      </w:r>
      <w:r w:rsidRPr="00933991">
        <w:t>The Go</w:t>
      </w:r>
      <w:r>
        <w:t>vernment also appointed Mr</w:t>
      </w:r>
      <w:r w:rsidRPr="00933991">
        <w:t xml:space="preserve"> John Lloyd, PSM as Victoria</w:t>
      </w:r>
      <w:r>
        <w:t>’</w:t>
      </w:r>
      <w:r w:rsidRPr="00933991">
        <w:t>s first Red Tape Commissioner in January 2013. The Commissioner</w:t>
      </w:r>
      <w:r>
        <w:t>’</w:t>
      </w:r>
      <w:r w:rsidRPr="00933991">
        <w:t>s engagement with business is informing a priority list of actions to eliminate red tape</w:t>
      </w:r>
      <w:r>
        <w:t>,</w:t>
      </w:r>
      <w:r w:rsidRPr="00933991">
        <w:t xml:space="preserve"> supplementing the work already underway in </w:t>
      </w:r>
      <w:r>
        <w:t>the red tape reduction program.</w:t>
      </w:r>
    </w:p>
    <w:p w:rsidR="00F60B5F" w:rsidRDefault="00F60B5F" w:rsidP="00740D2E">
      <w:pPr>
        <w:pStyle w:val="Heading3"/>
      </w:pPr>
      <w:r w:rsidRPr="00B658E0">
        <w:t>Regulator statement of expectations reform process</w:t>
      </w:r>
    </w:p>
    <w:p w:rsidR="00F60B5F" w:rsidRDefault="00F60B5F" w:rsidP="00546630">
      <w:r w:rsidRPr="00933991">
        <w:t>The G</w:t>
      </w:r>
      <w:r>
        <w:t>overnment is introducing a new statement of e</w:t>
      </w:r>
      <w:r w:rsidRPr="00933991">
        <w:t xml:space="preserve">xpectations framework to lift regulator performance and reduce costs imposed by regulators. As a first step, </w:t>
      </w:r>
      <w:r>
        <w:t>responsible Ministers issued statements of e</w:t>
      </w:r>
      <w:r w:rsidRPr="00933991">
        <w:t xml:space="preserve">xpectations to the Victorian </w:t>
      </w:r>
      <w:r>
        <w:t>WorkC</w:t>
      </w:r>
      <w:r w:rsidRPr="00933991">
        <w:t>over Authority, VicRoads, the Environment Protection Authority, Consumer Affairs Victoria and the Victorian Commission for Gambling and Liquor Regulation. Ministers asked these regulators to develop and implement actions to reduce the cost of high</w:t>
      </w:r>
      <w:r>
        <w:noBreakHyphen/>
      </w:r>
      <w:r w:rsidRPr="00933991">
        <w:t>impact or high</w:t>
      </w:r>
      <w:r>
        <w:noBreakHyphen/>
      </w:r>
      <w:r w:rsidRPr="00933991">
        <w:t>volume compliance and administrative activities by reducing timel</w:t>
      </w:r>
      <w:r>
        <w:t>ines and streamlining processes.</w:t>
      </w:r>
      <w:r w:rsidRPr="00364D26">
        <w:t xml:space="preserve"> A second wave of statements of expectations</w:t>
      </w:r>
      <w:r>
        <w:t xml:space="preserve"> is</w:t>
      </w:r>
      <w:r w:rsidRPr="00364D26">
        <w:t xml:space="preserve"> being rolled out more widely to </w:t>
      </w:r>
      <w:r>
        <w:t>around 50 </w:t>
      </w:r>
      <w:r w:rsidRPr="00364D26">
        <w:t>business regulators in 2013</w:t>
      </w:r>
      <w:r>
        <w:noBreakHyphen/>
      </w:r>
      <w:r w:rsidRPr="00364D26">
        <w:t xml:space="preserve">14 </w:t>
      </w:r>
      <w:r>
        <w:t xml:space="preserve">and </w:t>
      </w:r>
      <w:r w:rsidRPr="00364D26">
        <w:t>will further improve regulator outcomes and reduce costs on regulated parties.</w:t>
      </w:r>
    </w:p>
    <w:p w:rsidR="00F60B5F" w:rsidRDefault="00F60B5F" w:rsidP="00740D2E">
      <w:pPr>
        <w:pStyle w:val="Heading3"/>
      </w:pPr>
      <w:r w:rsidRPr="00B658E0">
        <w:t xml:space="preserve">Implementation of taxi industry reforms </w:t>
      </w:r>
    </w:p>
    <w:p w:rsidR="00F60B5F" w:rsidRPr="00546630" w:rsidRDefault="00F60B5F" w:rsidP="00546630">
      <w:pPr>
        <w:rPr>
          <w:highlight w:val="lightGray"/>
        </w:rPr>
      </w:pPr>
      <w:r w:rsidRPr="00546630">
        <w:t xml:space="preserve">The Government has introduced major structural reform of the taxi industry, focusing on </w:t>
      </w:r>
      <w:r>
        <w:t>boosting competition in</w:t>
      </w:r>
      <w:r w:rsidRPr="00546630">
        <w:t xml:space="preserve"> the industry. A new regulatory framewo</w:t>
      </w:r>
      <w:r>
        <w:t>rk – to be administered by the T</w:t>
      </w:r>
      <w:r w:rsidRPr="00546630">
        <w:t xml:space="preserve">axi Services Commission </w:t>
      </w:r>
      <w:r>
        <w:t>–</w:t>
      </w:r>
      <w:r w:rsidRPr="00546630">
        <w:t xml:space="preserve"> </w:t>
      </w:r>
      <w:r>
        <w:t xml:space="preserve">will </w:t>
      </w:r>
      <w:r w:rsidRPr="00546630">
        <w:t>cut industry costs and</w:t>
      </w:r>
      <w:r>
        <w:t xml:space="preserve"> </w:t>
      </w:r>
      <w:r w:rsidRPr="00546630">
        <w:t>enable the development of innovative, customer</w:t>
      </w:r>
      <w:r>
        <w:noBreakHyphen/>
      </w:r>
      <w:r w:rsidRPr="00546630">
        <w:t>focused services. Legislation to deliver the reforms is being progressively introduc</w:t>
      </w:r>
      <w:r>
        <w:t>ed</w:t>
      </w:r>
      <w:r w:rsidRPr="00546630">
        <w:t>.</w:t>
      </w:r>
    </w:p>
    <w:p w:rsidR="00F60B5F" w:rsidRDefault="00F60B5F" w:rsidP="00740D2E">
      <w:pPr>
        <w:pStyle w:val="Heading3"/>
      </w:pPr>
      <w:r w:rsidRPr="00B658E0">
        <w:t xml:space="preserve">Fire Services </w:t>
      </w:r>
      <w:r>
        <w:t xml:space="preserve">Property </w:t>
      </w:r>
      <w:r w:rsidRPr="00B658E0">
        <w:t>Levy</w:t>
      </w:r>
    </w:p>
    <w:p w:rsidR="00F60B5F" w:rsidRDefault="00F60B5F" w:rsidP="00670892">
      <w:pPr>
        <w:tabs>
          <w:tab w:val="num" w:pos="0"/>
        </w:tabs>
      </w:pPr>
      <w:r w:rsidRPr="00546630">
        <w:t>The Government has implemented the Victorian Bushfires Royal Commission recommendation that the insurance</w:t>
      </w:r>
      <w:r>
        <w:noBreakHyphen/>
      </w:r>
      <w:r w:rsidRPr="00546630">
        <w:t>based fire services levy be replaced with a direct property levy to ensure that all Victorian property owners pay a fair contribution to our fire services.</w:t>
      </w:r>
      <w:r>
        <w:t xml:space="preserve"> </w:t>
      </w:r>
      <w:r w:rsidRPr="00546630">
        <w:t>Under the previous arrangements, property owners who chose not to insure, under</w:t>
      </w:r>
      <w:r>
        <w:t xml:space="preserve"> </w:t>
      </w:r>
      <w:r w:rsidRPr="00546630">
        <w:t>insure or self</w:t>
      </w:r>
      <w:r>
        <w:t xml:space="preserve"> </w:t>
      </w:r>
      <w:r w:rsidRPr="00546630">
        <w:t>insure, made no (or an inadequate) contribution to funding fire services.</w:t>
      </w:r>
      <w:r>
        <w:t xml:space="preserve"> </w:t>
      </w:r>
      <w:r w:rsidRPr="00546630">
        <w:t>The property based arrangement is a fairer system, as it</w:t>
      </w:r>
      <w:r>
        <w:t xml:space="preserve"> is spread more broadly, and GST and stamp duty will no longer be charged on the levy. This provides </w:t>
      </w:r>
      <w:r w:rsidRPr="00546630">
        <w:t xml:space="preserve">savings for many families and businesses. </w:t>
      </w:r>
    </w:p>
    <w:p w:rsidR="00F60B5F" w:rsidRDefault="00F60B5F" w:rsidP="00740D2E">
      <w:pPr>
        <w:pStyle w:val="Heading3"/>
      </w:pPr>
      <w:r w:rsidRPr="00692C5E">
        <w:t>Review of regulatory efficiency</w:t>
      </w:r>
    </w:p>
    <w:p w:rsidR="00F60B5F" w:rsidRDefault="00F60B5F" w:rsidP="00670892">
      <w:pPr>
        <w:tabs>
          <w:tab w:val="num" w:pos="0"/>
        </w:tabs>
      </w:pPr>
      <w:r w:rsidRPr="00B658E0">
        <w:t xml:space="preserve">The Government will undertake a </w:t>
      </w:r>
      <w:r>
        <w:t xml:space="preserve">review </w:t>
      </w:r>
      <w:r w:rsidRPr="00B658E0">
        <w:t>focused on improving the efficiency and perfo</w:t>
      </w:r>
      <w:r>
        <w:t xml:space="preserve">rmance of Victorian regulators. </w:t>
      </w:r>
      <w:r w:rsidRPr="00633017">
        <w:t xml:space="preserve">Victoria has </w:t>
      </w:r>
      <w:r>
        <w:t xml:space="preserve">about 60 </w:t>
      </w:r>
      <w:r w:rsidRPr="00633017">
        <w:t>bodies involved in regulat</w:t>
      </w:r>
      <w:r>
        <w:t xml:space="preserve">ing business. The Government will undertake reforms to </w:t>
      </w:r>
      <w:r w:rsidRPr="00633017">
        <w:t>ensure that Victoria</w:t>
      </w:r>
      <w:r>
        <w:t>’</w:t>
      </w:r>
      <w:r w:rsidRPr="00633017">
        <w:t xml:space="preserve">s regulatory environment is efficient and reduces regulatory burden on businesses without compromising </w:t>
      </w:r>
      <w:r>
        <w:t xml:space="preserve">regulatory </w:t>
      </w:r>
      <w:r w:rsidRPr="00633017">
        <w:t xml:space="preserve">outcomes. </w:t>
      </w:r>
    </w:p>
    <w:p w:rsidR="00F60B5F" w:rsidRPr="00316ACF" w:rsidRDefault="00F60B5F" w:rsidP="00A92CE4">
      <w:pPr>
        <w:pStyle w:val="Heading2"/>
      </w:pPr>
      <w:r w:rsidRPr="00316ACF">
        <w:t>Private sector investment and employment</w:t>
      </w:r>
    </w:p>
    <w:p w:rsidR="00F60B5F" w:rsidRPr="00316ACF" w:rsidRDefault="00F60B5F" w:rsidP="00670892">
      <w:pPr>
        <w:rPr>
          <w:szCs w:val="22"/>
        </w:rPr>
      </w:pPr>
      <w:r w:rsidRPr="00316ACF">
        <w:rPr>
          <w:szCs w:val="22"/>
        </w:rPr>
        <w:t>Access to new markets, both interstate and overseas, creates jobs and investment and enables companies to grow.</w:t>
      </w:r>
    </w:p>
    <w:p w:rsidR="00F60B5F" w:rsidRPr="00316ACF" w:rsidRDefault="00F60B5F" w:rsidP="00670892">
      <w:pPr>
        <w:rPr>
          <w:szCs w:val="22"/>
        </w:rPr>
      </w:pPr>
      <w:r w:rsidRPr="00316ACF">
        <w:rPr>
          <w:szCs w:val="22"/>
        </w:rPr>
        <w:t>As the investment phase of the resources boom peaks, global investors and businesses around the nation will look to Victoria’s diverse sectors for new opportunities to drive investment and growth.</w:t>
      </w:r>
    </w:p>
    <w:p w:rsidR="00F60B5F" w:rsidRPr="00316ACF" w:rsidRDefault="00F60B5F" w:rsidP="00EC5A24">
      <w:r w:rsidRPr="00316ACF">
        <w:t xml:space="preserve">The State’s international engagement strategy supports businesses to tap into new sources of trade and investment opportunities. This will </w:t>
      </w:r>
      <w:r>
        <w:t xml:space="preserve">be </w:t>
      </w:r>
      <w:r w:rsidRPr="00316ACF">
        <w:t>particul</w:t>
      </w:r>
      <w:r>
        <w:t>arly important over the next 20 </w:t>
      </w:r>
      <w:r w:rsidRPr="00316ACF">
        <w:t>years as Asian markets grow in wealth and population, opening up new opportunities for Victorian exports.</w:t>
      </w:r>
    </w:p>
    <w:p w:rsidR="00F60B5F" w:rsidRPr="00316ACF" w:rsidRDefault="00F60B5F" w:rsidP="00670892">
      <w:r w:rsidRPr="00316ACF">
        <w:t>Victorian businesses are already establishing themselves in the Asian region.</w:t>
      </w:r>
    </w:p>
    <w:p w:rsidR="00F60B5F" w:rsidRPr="00316ACF" w:rsidRDefault="00F60B5F" w:rsidP="00670892">
      <w:r w:rsidRPr="00442756">
        <w:t>Victorian universities and vocational education providers have built a substantial export industry by providing higher education to foreign students and opening campuses throughout Asia. Valued at $</w:t>
      </w:r>
      <w:r>
        <w:t>4.3 billion</w:t>
      </w:r>
      <w:r w:rsidRPr="00442756">
        <w:t xml:space="preserve"> in 2012</w:t>
      </w:r>
      <w:r>
        <w:noBreakHyphen/>
      </w:r>
      <w:r w:rsidRPr="00442756">
        <w:t xml:space="preserve">13, education is Victoria’s largest service export, constituting </w:t>
      </w:r>
      <w:r>
        <w:t>30 per cent</w:t>
      </w:r>
      <w:r w:rsidRPr="00442756">
        <w:t xml:space="preserve"> of Australia’s total education exports. </w:t>
      </w:r>
    </w:p>
    <w:p w:rsidR="00F60B5F" w:rsidRPr="00316ACF" w:rsidRDefault="00F60B5F" w:rsidP="00670892">
      <w:r w:rsidRPr="001C66D3">
        <w:t>Food and fibre exports are also vital to Victoria</w:t>
      </w:r>
      <w:r>
        <w:t>’</w:t>
      </w:r>
      <w:r w:rsidRPr="001C66D3">
        <w:t>s economic future</w:t>
      </w:r>
      <w:r>
        <w:t xml:space="preserve">. </w:t>
      </w:r>
      <w:r w:rsidRPr="00316ACF">
        <w:t xml:space="preserve">Despite having only </w:t>
      </w:r>
      <w:r>
        <w:t>3 per cent</w:t>
      </w:r>
      <w:r w:rsidRPr="00316ACF">
        <w:t xml:space="preserve"> of Australia’s arable land base, Victoria accounts for 29</w:t>
      </w:r>
      <w:r>
        <w:t> per cent</w:t>
      </w:r>
      <w:r w:rsidRPr="00316ACF">
        <w:t xml:space="preserve"> of Australian food and fibre exports. Victorian food and fibre exports were worth $9</w:t>
      </w:r>
      <w:r>
        <w:t>.4 billion in 2012</w:t>
      </w:r>
      <w:r>
        <w:noBreakHyphen/>
        <w:t>13, up 5 per cent</w:t>
      </w:r>
      <w:r w:rsidRPr="00316ACF">
        <w:t xml:space="preserve"> on the previous year. Assisted by varied climatic conditions across its regions, the State has earned a strong international reputation for clean, green, high</w:t>
      </w:r>
      <w:r>
        <w:noBreakHyphen/>
      </w:r>
      <w:r w:rsidRPr="00316ACF">
        <w:t xml:space="preserve">nutritional food and beverages, including dairy, meats, fruit, wine, cereals and confectionery. China is Victoria’s top market for food and </w:t>
      </w:r>
      <w:r>
        <w:t>fibre exports, accounting for 23 per cent of Victoria’s food and fibre exports in 2012</w:t>
      </w:r>
      <w:r>
        <w:noBreakHyphen/>
        <w:t>13</w:t>
      </w:r>
      <w:r w:rsidRPr="00316ACF">
        <w:t>. The mar</w:t>
      </w:r>
      <w:r>
        <w:t>ket more than doubled over the p</w:t>
      </w:r>
      <w:r w:rsidRPr="00316ACF">
        <w:t>ast four years.</w:t>
      </w:r>
    </w:p>
    <w:p w:rsidR="00F60B5F" w:rsidRDefault="00F60B5F" w:rsidP="00546630">
      <w:r w:rsidRPr="00316ACF">
        <w:t>The Government’s overseas trade missio</w:t>
      </w:r>
      <w:r>
        <w:t>ns are helping Victoria’s world</w:t>
      </w:r>
      <w:r>
        <w:noBreakHyphen/>
      </w:r>
      <w:r w:rsidRPr="00316ACF">
        <w:t>class producers to further establish networks in new markets.</w:t>
      </w:r>
      <w:r w:rsidRPr="00546630">
        <w:t xml:space="preserve"> </w:t>
      </w:r>
      <w:r>
        <w:t xml:space="preserve">There have been 65 Victorian Government trade missions to 31 countries since 2010. </w:t>
      </w:r>
    </w:p>
    <w:p w:rsidR="00F60B5F" w:rsidRPr="00316ACF" w:rsidRDefault="00F60B5F" w:rsidP="00670892">
      <w:r>
        <w:t xml:space="preserve">The seven Victorian Government trade missions to China since 2010 have resulted in over $1.8 billion in projected additional export activity. In June the Premier led the largest trade mission from Australia to South East Asia. So far the Super Trade Mission has resulted in a projected additional export activity of over $221 million and 319 new jobs over the next two years. </w:t>
      </w:r>
    </w:p>
    <w:p w:rsidR="00F60B5F" w:rsidRPr="00316ACF" w:rsidRDefault="00F60B5F" w:rsidP="008D4DE9">
      <w:pPr>
        <w:pStyle w:val="Heading3"/>
      </w:pPr>
      <w:r w:rsidRPr="00316ACF">
        <w:t>Assisting industries and workers in transition</w:t>
      </w:r>
    </w:p>
    <w:p w:rsidR="00F60B5F" w:rsidRPr="00316ACF" w:rsidRDefault="00F60B5F" w:rsidP="00740D2E">
      <w:r w:rsidRPr="00316ACF">
        <w:t xml:space="preserve">Victoria’s manufacturing sector has </w:t>
      </w:r>
      <w:r>
        <w:t xml:space="preserve">significantly adjusted </w:t>
      </w:r>
      <w:r w:rsidRPr="00316ACF">
        <w:t xml:space="preserve">in response to intensifying competition, a high dollar, the globalisation of supply chains and </w:t>
      </w:r>
      <w:r>
        <w:t xml:space="preserve">growing </w:t>
      </w:r>
      <w:r w:rsidRPr="00316ACF">
        <w:t>demand for more specialised products.</w:t>
      </w:r>
    </w:p>
    <w:p w:rsidR="00F60B5F" w:rsidRPr="00316ACF" w:rsidRDefault="00F60B5F" w:rsidP="00740D2E">
      <w:r>
        <w:t xml:space="preserve">Its </w:t>
      </w:r>
      <w:r w:rsidRPr="00316ACF">
        <w:t xml:space="preserve">resilience is demonstrated by its steady employment levels over the past year and some parts of the sector expanding. These trends underscore the sector’s increasingly </w:t>
      </w:r>
      <w:r>
        <w:t xml:space="preserve">productive </w:t>
      </w:r>
      <w:r w:rsidRPr="00316ACF">
        <w:t>and specialised product offering.</w:t>
      </w:r>
    </w:p>
    <w:p w:rsidR="00F60B5F" w:rsidRDefault="00F60B5F" w:rsidP="00740D2E">
      <w:r>
        <w:t xml:space="preserve">Governments have a </w:t>
      </w:r>
      <w:r w:rsidRPr="00316ACF">
        <w:t>role in helping industries and workforces in transition. For example, the Geelong Development Fund will drive jobs growth and increase the skills of people in greater Geelong.</w:t>
      </w:r>
    </w:p>
    <w:p w:rsidR="00F60B5F" w:rsidRDefault="00F60B5F" w:rsidP="00740D2E">
      <w:r>
        <w:t xml:space="preserve">The Government has also implemented a number of initiatives to support retrenched workers. </w:t>
      </w:r>
    </w:p>
    <w:p w:rsidR="00F60B5F" w:rsidRDefault="00F60B5F" w:rsidP="00740D2E">
      <w:r w:rsidRPr="00546630">
        <w:t xml:space="preserve">Since October 2011, the Government has been providing retrenched workers with an opportunity to retrain or build on their current skills through the </w:t>
      </w:r>
      <w:r w:rsidRPr="00926B06">
        <w:rPr>
          <w:i/>
        </w:rPr>
        <w:t>Workers in Transition Program</w:t>
      </w:r>
      <w:r w:rsidRPr="00546630">
        <w:t>. Workers from participating companies are offered the opportunity to take up a government subsidised training place in accredited training to help them transition to new employment as quickly as possible. Normally government subsidised training is only available for people who want to train at a level higher than their current qualification – this program removes this requirement for workers affected by retrenchment. Affected workers are also offered a range of support services including the provision of advice regarding careers, skills recognition assessments, and entry to a range of training opportunities.</w:t>
      </w:r>
    </w:p>
    <w:p w:rsidR="00F60B5F" w:rsidRDefault="00F60B5F" w:rsidP="00926B06">
      <w:r>
        <w:t xml:space="preserve">A range of specialised financial and counselling support services are also provided and funded by the State Government. These include </w:t>
      </w:r>
      <w:r w:rsidRPr="0053684D">
        <w:rPr>
          <w:i/>
        </w:rPr>
        <w:t>MoneyHelp</w:t>
      </w:r>
      <w:r>
        <w:t>, a free service that provides independent and confidential financial advice to Victorians struggling to pay their mortgage or rent, or facing job loss. As well there are programs to assist people facing financial hardship such as the Utility Relief Grant Scheme, the Generalist Financial Counselling program and the Housing Establishment Fund.</w:t>
      </w:r>
    </w:p>
    <w:p w:rsidR="00F60B5F" w:rsidRDefault="00F60B5F" w:rsidP="00926B06">
      <w:r w:rsidRPr="008510EF">
        <w:t>More generally, reforms to the vocational education and training sector to better match education with industry needs will help increase people’s long</w:t>
      </w:r>
      <w:r>
        <w:noBreakHyphen/>
      </w:r>
      <w:r w:rsidRPr="008510EF">
        <w:t>term employment opportunities. Government investment in major road and rail infrastructure will also assist in creating new employment opportunities.</w:t>
      </w:r>
    </w:p>
    <w:p w:rsidR="00F60B5F" w:rsidRDefault="00F60B5F">
      <w:pPr>
        <w:spacing w:after="0"/>
      </w:pPr>
      <w:r>
        <w:br w:type="page"/>
      </w:r>
    </w:p>
    <w:p w:rsidR="00F60B5F" w:rsidRDefault="00F60B5F" w:rsidP="00590400">
      <w:r>
        <w:t xml:space="preserve">The </w:t>
      </w:r>
      <w:r w:rsidRPr="00364D26">
        <w:rPr>
          <w:i/>
        </w:rPr>
        <w:t>2013</w:t>
      </w:r>
      <w:r>
        <w:rPr>
          <w:i/>
        </w:rPr>
        <w:noBreakHyphen/>
      </w:r>
      <w:r w:rsidRPr="00364D26">
        <w:rPr>
          <w:i/>
        </w:rPr>
        <w:t>14 Budget Update</w:t>
      </w:r>
      <w:r>
        <w:t xml:space="preserve"> provides funding for an Economic Diversity Fund, which will support new private investment and job creation in the Hume, Geelong and immediate surrounding areas affected by Ford’s decision to cease manufacturing in Australia from October 2016.</w:t>
      </w:r>
    </w:p>
    <w:p w:rsidR="00F60B5F" w:rsidRDefault="00F60B5F" w:rsidP="00BF219E">
      <w:r>
        <w:t>The Government’s recent submission to the Productivity Commission inquiry into public support for Australia's automotive industry calls for continuing of current Commonwealth Government funding over a 10 year period. This is to assist the automotive industry to become profitable and sustainable as manufacturers, employees and the broader supply chain adjust to changing global conditions. Further, the Government encouraged the Productivity Commission to assess the policy reform effort needed to boost the automotive industry’s international competitiveness. Such microeconomic reforms should benefit manufacturing and industry more broadly by improving the State’s business environment.</w:t>
      </w:r>
    </w:p>
    <w:p w:rsidR="00F60B5F" w:rsidRDefault="00F60B5F" w:rsidP="00BF219E"/>
    <w:p w:rsidR="00F60B5F" w:rsidRDefault="00F60B5F" w:rsidP="00BF219E"/>
    <w:p w:rsidR="00F60B5F" w:rsidRDefault="00F60B5F">
      <w:pPr>
        <w:spacing w:after="0"/>
      </w:pPr>
      <w:r>
        <w:br w:type="page"/>
      </w:r>
    </w:p>
    <w:p w:rsidR="00F60B5F" w:rsidRDefault="00F60B5F" w:rsidP="00BF219E"/>
    <w:p w:rsidR="00F60B5F" w:rsidRPr="008A11AA" w:rsidRDefault="00F60B5F" w:rsidP="00BF219E"/>
    <w:p w:rsidR="00F60B5F" w:rsidRDefault="00F60B5F" w:rsidP="00856AFF"/>
    <w:p w:rsidR="00F60B5F" w:rsidRDefault="00F60B5F" w:rsidP="00856AFF">
      <w:pPr>
        <w:sectPr w:rsidR="00F60B5F" w:rsidSect="006C00BC">
          <w:footerReference w:type="even" r:id="rId29"/>
          <w:footerReference w:type="default" r:id="rId30"/>
          <w:type w:val="oddPage"/>
          <w:pgSz w:w="9979" w:h="14181" w:code="138"/>
          <w:pgMar w:top="1138" w:right="1138" w:bottom="1138" w:left="1138" w:header="720" w:footer="720" w:gutter="0"/>
          <w:cols w:space="708"/>
          <w:docGrid w:linePitch="360"/>
        </w:sectPr>
      </w:pPr>
    </w:p>
    <w:p w:rsidR="00F60B5F" w:rsidRPr="00B56B1C" w:rsidRDefault="00F60B5F" w:rsidP="009445B6">
      <w:pPr>
        <w:pStyle w:val="ChapterHeading"/>
      </w:pPr>
      <w:bookmarkStart w:id="24" w:name="_Toc374373956"/>
      <w:r w:rsidRPr="00B56B1C">
        <w:t>Chapter 5 – Estimated financial statements and notes</w:t>
      </w:r>
      <w:bookmarkEnd w:id="24"/>
    </w:p>
    <w:p w:rsidR="00F60B5F" w:rsidRPr="00B56B1C" w:rsidRDefault="00F60B5F" w:rsidP="000223B9">
      <w:pPr>
        <w:pStyle w:val="Tableheading"/>
      </w:pPr>
      <w:r w:rsidRPr="00B56B1C">
        <w:t>Table 5.1:</w:t>
      </w:r>
      <w:r w:rsidRPr="00B56B1C">
        <w:tab/>
        <w:t>Estimated comprehensive operating statement for the financial year ending 30 June</w:t>
      </w:r>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95"/>
        <w:gridCol w:w="242"/>
        <w:gridCol w:w="438"/>
        <w:gridCol w:w="817"/>
        <w:gridCol w:w="817"/>
        <w:gridCol w:w="817"/>
        <w:gridCol w:w="817"/>
        <w:gridCol w:w="817"/>
      </w:tblGrid>
      <w:tr w:rsidR="00F60B5F" w:rsidRPr="006C00BC" w:rsidTr="00550D6F">
        <w:trPr>
          <w:tblHeader/>
        </w:trPr>
        <w:tc>
          <w:tcPr>
            <w:tcW w:w="2995" w:type="dxa"/>
            <w:tcBorders>
              <w:top w:val="single" w:sz="4" w:space="0" w:color="auto"/>
              <w:left w:val="single" w:sz="4" w:space="0" w:color="auto"/>
              <w:bottom w:val="nil"/>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 xml:space="preserve"> </w:t>
            </w:r>
          </w:p>
        </w:tc>
        <w:tc>
          <w:tcPr>
            <w:tcW w:w="680" w:type="dxa"/>
            <w:gridSpan w:val="2"/>
            <w:tcBorders>
              <w:top w:val="single" w:sz="4" w:space="0" w:color="auto"/>
              <w:left w:val="nil"/>
              <w:bottom w:val="nil"/>
              <w:right w:val="nil"/>
            </w:tcBorders>
            <w:shd w:val="clear" w:color="000000" w:fill="000000"/>
          </w:tcPr>
          <w:p w:rsidR="00F60B5F" w:rsidRPr="006C00BC" w:rsidRDefault="00F60B5F" w:rsidP="00820AF8">
            <w:pPr>
              <w:pStyle w:val="Tabletextheading"/>
              <w:rPr>
                <w:rFonts w:eastAsiaTheme="minorEastAsia"/>
                <w:color w:val="FFFFFF"/>
                <w:sz w:val="16"/>
              </w:rPr>
            </w:pPr>
            <w:r w:rsidRPr="006C00BC">
              <w:rPr>
                <w:rFonts w:eastAsiaTheme="minorEastAsia"/>
                <w:color w:val="FFFFFF"/>
                <w:sz w:val="16"/>
              </w:rPr>
              <w:t xml:space="preserve"> </w:t>
            </w:r>
          </w:p>
        </w:tc>
        <w:tc>
          <w:tcPr>
            <w:tcW w:w="817" w:type="dxa"/>
            <w:tcBorders>
              <w:top w:val="single" w:sz="4" w:space="0" w:color="auto"/>
              <w:left w:val="nil"/>
              <w:bottom w:val="nil"/>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2013</w:t>
            </w:r>
            <w:r>
              <w:rPr>
                <w:rFonts w:eastAsiaTheme="minorEastAsia"/>
                <w:color w:val="FFFFFF"/>
                <w:sz w:val="16"/>
                <w:lang w:eastAsia="en-AU"/>
              </w:rPr>
              <w:noBreakHyphen/>
            </w:r>
            <w:r w:rsidRPr="006C00BC">
              <w:rPr>
                <w:rFonts w:eastAsiaTheme="minorEastAsia"/>
                <w:color w:val="FFFFFF"/>
                <w:sz w:val="16"/>
                <w:lang w:eastAsia="en-AU"/>
              </w:rPr>
              <w:t>14</w:t>
            </w:r>
          </w:p>
        </w:tc>
        <w:tc>
          <w:tcPr>
            <w:tcW w:w="817" w:type="dxa"/>
            <w:tcBorders>
              <w:top w:val="single" w:sz="4" w:space="0" w:color="auto"/>
              <w:left w:val="nil"/>
              <w:bottom w:val="nil"/>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2013</w:t>
            </w:r>
            <w:r>
              <w:rPr>
                <w:rFonts w:eastAsiaTheme="minorEastAsia"/>
                <w:color w:val="FFFFFF"/>
                <w:sz w:val="16"/>
                <w:lang w:eastAsia="en-AU"/>
              </w:rPr>
              <w:noBreakHyphen/>
            </w:r>
            <w:r w:rsidRPr="006C00BC">
              <w:rPr>
                <w:rFonts w:eastAsiaTheme="minorEastAsia"/>
                <w:color w:val="FFFFFF"/>
                <w:sz w:val="16"/>
                <w:lang w:eastAsia="en-AU"/>
              </w:rPr>
              <w:t>14</w:t>
            </w:r>
          </w:p>
        </w:tc>
        <w:tc>
          <w:tcPr>
            <w:tcW w:w="817" w:type="dxa"/>
            <w:tcBorders>
              <w:top w:val="single" w:sz="4" w:space="0" w:color="auto"/>
              <w:left w:val="nil"/>
              <w:bottom w:val="nil"/>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2014</w:t>
            </w:r>
            <w:r>
              <w:rPr>
                <w:rFonts w:eastAsiaTheme="minorEastAsia"/>
                <w:color w:val="FFFFFF"/>
                <w:sz w:val="16"/>
                <w:lang w:eastAsia="en-AU"/>
              </w:rPr>
              <w:noBreakHyphen/>
            </w:r>
            <w:r w:rsidRPr="006C00BC">
              <w:rPr>
                <w:rFonts w:eastAsiaTheme="minorEastAsia"/>
                <w:color w:val="FFFFFF"/>
                <w:sz w:val="16"/>
                <w:lang w:eastAsia="en-AU"/>
              </w:rPr>
              <w:t>15</w:t>
            </w:r>
          </w:p>
        </w:tc>
        <w:tc>
          <w:tcPr>
            <w:tcW w:w="817" w:type="dxa"/>
            <w:tcBorders>
              <w:top w:val="single" w:sz="4" w:space="0" w:color="auto"/>
              <w:left w:val="nil"/>
              <w:bottom w:val="nil"/>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2015</w:t>
            </w:r>
            <w:r>
              <w:rPr>
                <w:rFonts w:eastAsiaTheme="minorEastAsia"/>
                <w:color w:val="FFFFFF"/>
                <w:sz w:val="16"/>
                <w:lang w:eastAsia="en-AU"/>
              </w:rPr>
              <w:noBreakHyphen/>
            </w:r>
            <w:r w:rsidRPr="006C00BC">
              <w:rPr>
                <w:rFonts w:eastAsiaTheme="minorEastAsia"/>
                <w:color w:val="FFFFFF"/>
                <w:sz w:val="16"/>
                <w:lang w:eastAsia="en-AU"/>
              </w:rPr>
              <w:t>16</w:t>
            </w:r>
          </w:p>
        </w:tc>
        <w:tc>
          <w:tcPr>
            <w:tcW w:w="817" w:type="dxa"/>
            <w:tcBorders>
              <w:top w:val="single" w:sz="4" w:space="0" w:color="auto"/>
              <w:left w:val="nil"/>
              <w:bottom w:val="nil"/>
              <w:right w:val="single" w:sz="4" w:space="0" w:color="auto"/>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2016</w:t>
            </w:r>
            <w:r>
              <w:rPr>
                <w:rFonts w:eastAsiaTheme="minorEastAsia"/>
                <w:color w:val="FFFFFF"/>
                <w:sz w:val="16"/>
                <w:lang w:eastAsia="en-AU"/>
              </w:rPr>
              <w:noBreakHyphen/>
            </w:r>
            <w:r w:rsidRPr="006C00BC">
              <w:rPr>
                <w:rFonts w:eastAsiaTheme="minorEastAsia"/>
                <w:color w:val="FFFFFF"/>
                <w:sz w:val="16"/>
                <w:lang w:eastAsia="en-AU"/>
              </w:rPr>
              <w:t>17</w:t>
            </w:r>
          </w:p>
        </w:tc>
      </w:tr>
      <w:tr w:rsidR="00F60B5F" w:rsidRPr="006C00BC" w:rsidTr="00550D6F">
        <w:trPr>
          <w:tblHeader/>
        </w:trPr>
        <w:tc>
          <w:tcPr>
            <w:tcW w:w="2995" w:type="dxa"/>
            <w:tcBorders>
              <w:top w:val="nil"/>
              <w:left w:val="single" w:sz="4" w:space="0" w:color="auto"/>
              <w:bottom w:val="single" w:sz="4" w:space="0" w:color="auto"/>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 xml:space="preserve"> </w:t>
            </w:r>
          </w:p>
        </w:tc>
        <w:tc>
          <w:tcPr>
            <w:tcW w:w="680" w:type="dxa"/>
            <w:gridSpan w:val="2"/>
            <w:tcBorders>
              <w:top w:val="nil"/>
              <w:left w:val="nil"/>
              <w:bottom w:val="single" w:sz="4" w:space="0" w:color="auto"/>
              <w:right w:val="nil"/>
            </w:tcBorders>
            <w:shd w:val="clear" w:color="000000" w:fill="000000"/>
          </w:tcPr>
          <w:p w:rsidR="00F60B5F" w:rsidRPr="006C00BC" w:rsidRDefault="00F60B5F" w:rsidP="00550D6F">
            <w:pPr>
              <w:pStyle w:val="Tabletextheading"/>
              <w:jc w:val="center"/>
              <w:rPr>
                <w:rFonts w:eastAsiaTheme="minorEastAsia"/>
                <w:color w:val="FFFFFF"/>
                <w:sz w:val="16"/>
              </w:rPr>
            </w:pPr>
            <w:r w:rsidRPr="006C00BC">
              <w:rPr>
                <w:rFonts w:eastAsiaTheme="minorEastAsia"/>
                <w:color w:val="FFFFFF"/>
                <w:sz w:val="16"/>
              </w:rPr>
              <w:t>Notes</w:t>
            </w:r>
          </w:p>
        </w:tc>
        <w:tc>
          <w:tcPr>
            <w:tcW w:w="817" w:type="dxa"/>
            <w:tcBorders>
              <w:top w:val="nil"/>
              <w:left w:val="nil"/>
              <w:bottom w:val="single" w:sz="4" w:space="0" w:color="auto"/>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Budget</w:t>
            </w:r>
          </w:p>
        </w:tc>
        <w:tc>
          <w:tcPr>
            <w:tcW w:w="817" w:type="dxa"/>
            <w:tcBorders>
              <w:top w:val="nil"/>
              <w:left w:val="nil"/>
              <w:bottom w:val="single" w:sz="4" w:space="0" w:color="auto"/>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Revised</w:t>
            </w:r>
          </w:p>
        </w:tc>
        <w:tc>
          <w:tcPr>
            <w:tcW w:w="817" w:type="dxa"/>
            <w:tcBorders>
              <w:top w:val="nil"/>
              <w:left w:val="nil"/>
              <w:bottom w:val="single" w:sz="4" w:space="0" w:color="auto"/>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Estimate</w:t>
            </w:r>
          </w:p>
        </w:tc>
        <w:tc>
          <w:tcPr>
            <w:tcW w:w="817" w:type="dxa"/>
            <w:tcBorders>
              <w:top w:val="nil"/>
              <w:left w:val="nil"/>
              <w:bottom w:val="single" w:sz="4" w:space="0" w:color="auto"/>
              <w:right w:val="nil"/>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Estimate</w:t>
            </w:r>
          </w:p>
        </w:tc>
        <w:tc>
          <w:tcPr>
            <w:tcW w:w="817" w:type="dxa"/>
            <w:tcBorders>
              <w:top w:val="nil"/>
              <w:left w:val="nil"/>
              <w:bottom w:val="single" w:sz="4" w:space="0" w:color="auto"/>
              <w:right w:val="single" w:sz="4" w:space="0" w:color="auto"/>
            </w:tcBorders>
            <w:shd w:val="clear" w:color="000000" w:fill="000000"/>
          </w:tcPr>
          <w:p w:rsidR="00F60B5F" w:rsidRPr="006C00BC" w:rsidRDefault="00F60B5F" w:rsidP="00820AF8">
            <w:pPr>
              <w:pStyle w:val="Tabletextheading"/>
              <w:rPr>
                <w:rFonts w:eastAsiaTheme="minorEastAsia"/>
                <w:color w:val="FFFFFF"/>
                <w:sz w:val="16"/>
                <w:lang w:eastAsia="en-AU"/>
              </w:rPr>
            </w:pPr>
            <w:r w:rsidRPr="006C00BC">
              <w:rPr>
                <w:rFonts w:eastAsiaTheme="minorEastAsia"/>
                <w:color w:val="FFFFFF"/>
                <w:sz w:val="16"/>
                <w:lang w:eastAsia="en-AU"/>
              </w:rPr>
              <w:t>Estimate</w:t>
            </w:r>
          </w:p>
        </w:tc>
      </w:tr>
      <w:tr w:rsidR="00F60B5F" w:rsidRPr="006C00BC" w:rsidTr="00550D6F">
        <w:tc>
          <w:tcPr>
            <w:tcW w:w="2995" w:type="dxa"/>
            <w:tcBorders>
              <w:top w:val="single" w:sz="4" w:space="0" w:color="auto"/>
              <w:left w:val="nil"/>
              <w:bottom w:val="nil"/>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Revenue from transactions</w:t>
            </w:r>
          </w:p>
        </w:tc>
        <w:tc>
          <w:tcPr>
            <w:tcW w:w="680" w:type="dxa"/>
            <w:gridSpan w:val="2"/>
            <w:tcBorders>
              <w:top w:val="single" w:sz="4" w:space="0" w:color="auto"/>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Taxation revenue</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16 454.4</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16 495.4</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17 641.0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18 402.9</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19 340.9</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Interest revenue</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867.0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842.2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841.2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859.9</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868.7</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vertAlign w:val="superscript"/>
                <w:lang w:eastAsia="en-AU"/>
              </w:rPr>
            </w:pPr>
            <w:r w:rsidRPr="006C00BC">
              <w:rPr>
                <w:rFonts w:eastAsiaTheme="minorEastAsia"/>
                <w:sz w:val="16"/>
                <w:lang w:eastAsia="en-AU"/>
              </w:rPr>
              <w:t>Dividends and income tax equivalent and rate equivalent revenue</w:t>
            </w:r>
            <w:r w:rsidRPr="006C00BC">
              <w:rPr>
                <w:rFonts w:eastAsiaTheme="minorEastAsia"/>
                <w:sz w:val="16"/>
                <w:vertAlign w:val="superscript"/>
                <w:lang w:eastAsia="en-AU"/>
              </w:rPr>
              <w:t xml:space="preserve"> </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671.5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570.0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564.9</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749.8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685.9</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Sales of goods and services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4</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6 949.5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6 721.2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6 626.7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6 849.8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6 897.0</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Grants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23 310.5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23 251.8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24 268.0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24 819.0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26 166.4</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Other revenue</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6</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2 074.5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2 142.5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1 997.1</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2 057.2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2 094.9</w:t>
            </w:r>
          </w:p>
        </w:tc>
      </w:tr>
      <w:tr w:rsidR="00F60B5F" w:rsidRPr="006C00BC" w:rsidTr="00820AF8">
        <w:tc>
          <w:tcPr>
            <w:tcW w:w="2995" w:type="dxa"/>
            <w:tcBorders>
              <w:top w:val="single" w:sz="6" w:space="0" w:color="auto"/>
              <w:left w:val="nil"/>
              <w:bottom w:val="nil"/>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Total revenue from transactions</w:t>
            </w:r>
          </w:p>
        </w:tc>
        <w:tc>
          <w:tcPr>
            <w:tcW w:w="680" w:type="dxa"/>
            <w:gridSpan w:val="2"/>
            <w:tcBorders>
              <w:top w:val="single" w:sz="6" w:space="0" w:color="auto"/>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single" w:sz="6" w:space="0" w:color="auto"/>
              <w:left w:val="nil"/>
              <w:bottom w:val="nil"/>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50 327.5</w:t>
            </w:r>
          </w:p>
        </w:tc>
        <w:tc>
          <w:tcPr>
            <w:tcW w:w="817" w:type="dxa"/>
            <w:tcBorders>
              <w:top w:val="single" w:sz="6" w:space="0" w:color="auto"/>
              <w:left w:val="nil"/>
              <w:bottom w:val="nil"/>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50 023.0</w:t>
            </w:r>
          </w:p>
        </w:tc>
        <w:tc>
          <w:tcPr>
            <w:tcW w:w="817" w:type="dxa"/>
            <w:tcBorders>
              <w:top w:val="single" w:sz="6" w:space="0" w:color="auto"/>
              <w:left w:val="nil"/>
              <w:bottom w:val="nil"/>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51 938.8</w:t>
            </w:r>
          </w:p>
        </w:tc>
        <w:tc>
          <w:tcPr>
            <w:tcW w:w="817" w:type="dxa"/>
            <w:tcBorders>
              <w:top w:val="single" w:sz="6" w:space="0" w:color="auto"/>
              <w:left w:val="nil"/>
              <w:bottom w:val="nil"/>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53 738.6</w:t>
            </w:r>
          </w:p>
        </w:tc>
        <w:tc>
          <w:tcPr>
            <w:tcW w:w="817" w:type="dxa"/>
            <w:tcBorders>
              <w:top w:val="single" w:sz="6" w:space="0" w:color="auto"/>
              <w:left w:val="nil"/>
              <w:bottom w:val="nil"/>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56 053.8</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Expenses from transactions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Employee expenses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17 947.1</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17 814.3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18 470.6</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19 188.7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19 811.6</w:t>
            </w:r>
          </w:p>
        </w:tc>
      </w:tr>
      <w:tr w:rsidR="00F60B5F" w:rsidRPr="006C00BC" w:rsidTr="00820AF8">
        <w:tc>
          <w:tcPr>
            <w:tcW w:w="3237" w:type="dxa"/>
            <w:gridSpan w:val="2"/>
            <w:tcBorders>
              <w:top w:val="nil"/>
              <w:left w:val="nil"/>
              <w:bottom w:val="nil"/>
              <w:right w:val="nil"/>
            </w:tcBorders>
          </w:tcPr>
          <w:p w:rsidR="00F60B5F" w:rsidRPr="006C00BC" w:rsidRDefault="00F60B5F" w:rsidP="00820AF8">
            <w:pPr>
              <w:pStyle w:val="Tabletext"/>
              <w:rPr>
                <w:rFonts w:eastAsiaTheme="minorEastAsia" w:cs="Calibri"/>
                <w:sz w:val="16"/>
                <w:szCs w:val="22"/>
                <w:vertAlign w:val="superscript"/>
                <w:lang w:eastAsia="en-AU"/>
              </w:rPr>
            </w:pPr>
            <w:r w:rsidRPr="006C00BC">
              <w:rPr>
                <w:rFonts w:eastAsiaTheme="minorEastAsia"/>
                <w:sz w:val="16"/>
                <w:lang w:eastAsia="en-AU"/>
              </w:rPr>
              <w:t xml:space="preserve">Net superannuation interest expense </w:t>
            </w:r>
          </w:p>
        </w:tc>
        <w:tc>
          <w:tcPr>
            <w:tcW w:w="438" w:type="dxa"/>
            <w:tcBorders>
              <w:top w:val="nil"/>
              <w:left w:val="nil"/>
              <w:bottom w:val="nil"/>
              <w:right w:val="nil"/>
            </w:tcBorders>
          </w:tcPr>
          <w:p w:rsidR="00F60B5F" w:rsidRPr="006C00BC" w:rsidRDefault="00F60B5F" w:rsidP="00820AF8">
            <w:pPr>
              <w:pStyle w:val="Tabletextcentred"/>
              <w:jc w:val="left"/>
              <w:rPr>
                <w:rFonts w:eastAsiaTheme="minorEastAsia"/>
                <w:sz w:val="16"/>
              </w:rPr>
            </w:pPr>
            <w:r w:rsidRPr="006C00BC">
              <w:rPr>
                <w:rFonts w:eastAsiaTheme="minorEastAsia"/>
                <w:sz w:val="16"/>
              </w:rPr>
              <w:t>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1 129.2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1 052.0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1 005.3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991.2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970.4</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Other superannuation</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1 901.8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1 846.1</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1 864.3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1 897.2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1 920.0</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Depreciation</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2 377.7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2 408.9</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2 511.9</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2 619.7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2 786.4</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Interest expense</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9</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2 176.9</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2 168.0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2 276.0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2 280.8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2 303.3</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cs="Calibri"/>
                <w:sz w:val="16"/>
                <w:szCs w:val="22"/>
                <w:lang w:eastAsia="en-AU"/>
              </w:rPr>
            </w:pPr>
            <w:r w:rsidRPr="006C00BC">
              <w:rPr>
                <w:rFonts w:eastAsiaTheme="minorEastAsia"/>
                <w:sz w:val="16"/>
                <w:lang w:eastAsia="en-AU"/>
              </w:rPr>
              <w:t xml:space="preserve">Grants and other </w:t>
            </w:r>
            <w:r w:rsidRPr="006C00BC">
              <w:rPr>
                <w:rFonts w:eastAsiaTheme="minorEastAsia" w:cs="Calibri"/>
                <w:sz w:val="16"/>
                <w:szCs w:val="22"/>
                <w:lang w:eastAsia="en-AU"/>
              </w:rPr>
              <w:t>transfers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10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7 997.4</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7 788.4</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8 215.8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8 352.4</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8 704.3</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Other operating expenses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11</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16 573.0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16 723.5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16 683.9</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16 357.1</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16 839.0</w:t>
            </w:r>
          </w:p>
        </w:tc>
      </w:tr>
      <w:tr w:rsidR="00F60B5F" w:rsidRPr="006C00BC" w:rsidTr="00820AF8">
        <w:tc>
          <w:tcPr>
            <w:tcW w:w="2995" w:type="dxa"/>
            <w:tcBorders>
              <w:top w:val="single" w:sz="6" w:space="0" w:color="auto"/>
              <w:left w:val="nil"/>
              <w:bottom w:val="single" w:sz="6" w:space="0" w:color="auto"/>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Total expenses from transactions</w:t>
            </w:r>
          </w:p>
        </w:tc>
        <w:tc>
          <w:tcPr>
            <w:tcW w:w="680" w:type="dxa"/>
            <w:gridSpan w:val="2"/>
            <w:tcBorders>
              <w:top w:val="single" w:sz="6" w:space="0" w:color="auto"/>
              <w:left w:val="nil"/>
              <w:bottom w:val="single" w:sz="6"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12</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50 103.0</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49 801.3</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51 027.8</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51 687.1</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53 335.0</w:t>
            </w:r>
          </w:p>
        </w:tc>
      </w:tr>
      <w:tr w:rsidR="00F60B5F" w:rsidRPr="006C00BC" w:rsidTr="00820AF8">
        <w:tc>
          <w:tcPr>
            <w:tcW w:w="2995" w:type="dxa"/>
            <w:tcBorders>
              <w:top w:val="nil"/>
              <w:left w:val="nil"/>
              <w:bottom w:val="single" w:sz="12" w:space="0" w:color="auto"/>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Net result from transactions – net operating balance</w:t>
            </w:r>
          </w:p>
        </w:tc>
        <w:tc>
          <w:tcPr>
            <w:tcW w:w="680" w:type="dxa"/>
            <w:gridSpan w:val="2"/>
            <w:tcBorders>
              <w:top w:val="single" w:sz="6" w:space="0" w:color="auto"/>
              <w:left w:val="nil"/>
              <w:bottom w:val="single" w:sz="12"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xml:space="preserve"> 224.5</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xml:space="preserve"> 221.8</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xml:space="preserve"> 911.0</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2 051.5</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2 718.9</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Other economic flows included in net result</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Net gain/(loss) on disposal of non</w:t>
            </w:r>
            <w:r>
              <w:rPr>
                <w:rFonts w:eastAsiaTheme="minorEastAsia"/>
                <w:sz w:val="16"/>
                <w:lang w:eastAsia="en-AU"/>
              </w:rPr>
              <w:noBreakHyphen/>
            </w:r>
            <w:r w:rsidRPr="006C00BC">
              <w:rPr>
                <w:rFonts w:eastAsiaTheme="minorEastAsia"/>
                <w:sz w:val="16"/>
                <w:lang w:eastAsia="en-AU"/>
              </w:rPr>
              <w:t>financial assets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111.3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112.0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96.3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78.3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94.2</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Net gain/(loss) on financial assets or liabilities at fair value</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( 0.4)</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3.3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3.3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3.3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3.3</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Other gains/(losses) from other economic flows</w:t>
            </w:r>
          </w:p>
        </w:tc>
        <w:tc>
          <w:tcPr>
            <w:tcW w:w="680" w:type="dxa"/>
            <w:gridSpan w:val="2"/>
            <w:tcBorders>
              <w:top w:val="nil"/>
              <w:left w:val="nil"/>
              <w:bottom w:val="single" w:sz="6"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13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( 374.8)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( 279.0)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( 280.0)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( 303.7)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( 320.5)</w:t>
            </w:r>
          </w:p>
        </w:tc>
      </w:tr>
      <w:tr w:rsidR="00F60B5F" w:rsidRPr="006C00BC" w:rsidTr="00820AF8">
        <w:tc>
          <w:tcPr>
            <w:tcW w:w="2995" w:type="dxa"/>
            <w:tcBorders>
              <w:top w:val="single" w:sz="6" w:space="0" w:color="auto"/>
              <w:left w:val="nil"/>
              <w:bottom w:val="single" w:sz="6" w:space="0" w:color="auto"/>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Total other economic flows included in net result</w:t>
            </w:r>
          </w:p>
        </w:tc>
        <w:tc>
          <w:tcPr>
            <w:tcW w:w="680" w:type="dxa"/>
            <w:gridSpan w:val="2"/>
            <w:tcBorders>
              <w:top w:val="single" w:sz="6" w:space="0" w:color="auto"/>
              <w:left w:val="nil"/>
              <w:bottom w:val="single" w:sz="6"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( 264.0)</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( 163.6)</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( 180.4)</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( 222.1)</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( 222.9)</w:t>
            </w:r>
          </w:p>
        </w:tc>
      </w:tr>
      <w:tr w:rsidR="00F60B5F" w:rsidRPr="006C00BC" w:rsidTr="00820AF8">
        <w:tc>
          <w:tcPr>
            <w:tcW w:w="2995" w:type="dxa"/>
            <w:tcBorders>
              <w:top w:val="single" w:sz="6" w:space="0" w:color="auto"/>
              <w:left w:val="nil"/>
              <w:bottom w:val="single" w:sz="6" w:space="0" w:color="auto"/>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Net result</w:t>
            </w:r>
          </w:p>
        </w:tc>
        <w:tc>
          <w:tcPr>
            <w:tcW w:w="680" w:type="dxa"/>
            <w:gridSpan w:val="2"/>
            <w:tcBorders>
              <w:top w:val="nil"/>
              <w:left w:val="nil"/>
              <w:bottom w:val="single" w:sz="6"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( 39.6)</w:t>
            </w:r>
          </w:p>
        </w:tc>
        <w:tc>
          <w:tcPr>
            <w:tcW w:w="817" w:type="dxa"/>
            <w:tcBorders>
              <w:top w:val="nil"/>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xml:space="preserve"> 58.1</w:t>
            </w:r>
          </w:p>
        </w:tc>
        <w:tc>
          <w:tcPr>
            <w:tcW w:w="817" w:type="dxa"/>
            <w:tcBorders>
              <w:top w:val="nil"/>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xml:space="preserve"> 730.6</w:t>
            </w:r>
          </w:p>
        </w:tc>
        <w:tc>
          <w:tcPr>
            <w:tcW w:w="817" w:type="dxa"/>
            <w:tcBorders>
              <w:top w:val="nil"/>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1 829.4</w:t>
            </w:r>
          </w:p>
        </w:tc>
        <w:tc>
          <w:tcPr>
            <w:tcW w:w="817" w:type="dxa"/>
            <w:tcBorders>
              <w:top w:val="nil"/>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2 495.9</w:t>
            </w:r>
          </w:p>
        </w:tc>
      </w:tr>
      <w:tr w:rsidR="00F60B5F" w:rsidRPr="006C00BC" w:rsidTr="00820AF8">
        <w:tc>
          <w:tcPr>
            <w:tcW w:w="2995" w:type="dxa"/>
            <w:tcBorders>
              <w:top w:val="nil"/>
              <w:left w:val="nil"/>
              <w:bottom w:val="nil"/>
              <w:right w:val="nil"/>
            </w:tcBorders>
          </w:tcPr>
          <w:p w:rsidR="00F60B5F" w:rsidRPr="006C00BC" w:rsidRDefault="00F60B5F" w:rsidP="000C5ADC">
            <w:pPr>
              <w:pStyle w:val="Tabletext"/>
              <w:ind w:left="187" w:hanging="187"/>
              <w:rPr>
                <w:rFonts w:eastAsiaTheme="minorEastAsia"/>
                <w:b/>
                <w:bCs/>
                <w:sz w:val="16"/>
                <w:lang w:eastAsia="en-AU"/>
              </w:rPr>
            </w:pPr>
            <w:r w:rsidRPr="006C00BC">
              <w:rPr>
                <w:rFonts w:eastAsiaTheme="minorEastAsia"/>
                <w:b/>
                <w:bCs/>
                <w:sz w:val="16"/>
                <w:lang w:eastAsia="en-AU"/>
              </w:rPr>
              <w:t>Other economic flows – other comprehensive income</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Items that will not be reclassified to net result</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Changes in non</w:t>
            </w:r>
            <w:r>
              <w:rPr>
                <w:rFonts w:eastAsiaTheme="minorEastAsia"/>
                <w:sz w:val="16"/>
                <w:lang w:eastAsia="en-AU"/>
              </w:rPr>
              <w:noBreakHyphen/>
            </w:r>
            <w:r w:rsidRPr="006C00BC">
              <w:rPr>
                <w:rFonts w:eastAsiaTheme="minorEastAsia"/>
                <w:sz w:val="16"/>
                <w:lang w:eastAsia="en-AU"/>
              </w:rPr>
              <w:t>financial assets revaluation surplus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3 918.0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813.8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3 536.8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994.8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1 948.6</w:t>
            </w:r>
          </w:p>
        </w:tc>
      </w:tr>
      <w:tr w:rsidR="00F60B5F" w:rsidRPr="006C00BC" w:rsidTr="00820AF8">
        <w:tc>
          <w:tcPr>
            <w:tcW w:w="2995" w:type="dxa"/>
            <w:tcBorders>
              <w:top w:val="nil"/>
              <w:left w:val="nil"/>
              <w:bottom w:val="nil"/>
              <w:right w:val="nil"/>
            </w:tcBorders>
            <w:shd w:val="solid" w:color="FFFFFF" w:fill="auto"/>
          </w:tcPr>
          <w:p w:rsidR="00F60B5F" w:rsidRPr="006C00BC" w:rsidRDefault="00F60B5F" w:rsidP="00820AF8">
            <w:pPr>
              <w:pStyle w:val="Tabletext"/>
              <w:rPr>
                <w:rFonts w:eastAsiaTheme="minorEastAsia" w:cs="Calibri"/>
                <w:sz w:val="16"/>
                <w:szCs w:val="22"/>
                <w:vertAlign w:val="superscript"/>
                <w:lang w:eastAsia="en-AU"/>
              </w:rPr>
            </w:pPr>
            <w:r w:rsidRPr="006C00BC">
              <w:rPr>
                <w:rFonts w:eastAsiaTheme="minorEastAsia"/>
                <w:sz w:val="16"/>
                <w:lang w:eastAsia="en-AU"/>
              </w:rPr>
              <w:t xml:space="preserve">Remeasurement of superannuation defined benefit plans </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593.2</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1 834.5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564.7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576.8</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588.2</w:t>
            </w:r>
          </w:p>
        </w:tc>
      </w:tr>
    </w:tbl>
    <w:p w:rsidR="00F60B5F" w:rsidRPr="00550D6F" w:rsidRDefault="00F60B5F" w:rsidP="00550D6F">
      <w:pPr>
        <w:pStyle w:val="Tableheading"/>
        <w:rPr>
          <w:i/>
        </w:rPr>
      </w:pPr>
      <w:r w:rsidRPr="00B56B1C">
        <w:t>Table 5.1:</w:t>
      </w:r>
      <w:r w:rsidRPr="00B56B1C">
        <w:tab/>
        <w:t>Estimated comprehensive operating statement for the financial year ending 30 June</w:t>
      </w:r>
      <w:r>
        <w:t xml:space="preserve"> </w:t>
      </w:r>
      <w:r>
        <w:rPr>
          <w:i/>
        </w:rPr>
        <w:t>(continued)</w:t>
      </w:r>
    </w:p>
    <w:p w:rsidR="00F60B5F" w:rsidRDefault="00F60B5F" w:rsidP="00550D6F">
      <w:pPr>
        <w:pStyle w:val="million"/>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2995"/>
        <w:gridCol w:w="82"/>
        <w:gridCol w:w="598"/>
        <w:gridCol w:w="817"/>
        <w:gridCol w:w="817"/>
        <w:gridCol w:w="817"/>
        <w:gridCol w:w="817"/>
        <w:gridCol w:w="817"/>
      </w:tblGrid>
      <w:tr w:rsidR="00F60B5F" w:rsidRPr="00550D6F" w:rsidTr="00550D6F">
        <w:trPr>
          <w:cantSplit/>
        </w:trPr>
        <w:tc>
          <w:tcPr>
            <w:tcW w:w="2995" w:type="dxa"/>
            <w:tcBorders>
              <w:top w:val="single" w:sz="4" w:space="0" w:color="auto"/>
              <w:left w:val="single" w:sz="4" w:space="0" w:color="auto"/>
              <w:bottom w:val="nil"/>
              <w:right w:val="nil"/>
            </w:tcBorders>
            <w:shd w:val="clear" w:color="000000" w:fill="000000"/>
          </w:tcPr>
          <w:p w:rsidR="00F60B5F" w:rsidRPr="00550D6F" w:rsidRDefault="00F60B5F" w:rsidP="00550D6F">
            <w:pPr>
              <w:pStyle w:val="Tabletext"/>
              <w:rPr>
                <w:rFonts w:eastAsiaTheme="minorEastAsia"/>
                <w:i/>
                <w:sz w:val="16"/>
                <w:lang w:eastAsia="en-AU"/>
              </w:rPr>
            </w:pPr>
          </w:p>
        </w:tc>
        <w:tc>
          <w:tcPr>
            <w:tcW w:w="680" w:type="dxa"/>
            <w:gridSpan w:val="2"/>
            <w:tcBorders>
              <w:top w:val="single" w:sz="4" w:space="0" w:color="auto"/>
              <w:left w:val="nil"/>
              <w:bottom w:val="nil"/>
              <w:right w:val="nil"/>
            </w:tcBorders>
            <w:shd w:val="clear" w:color="000000" w:fill="000000"/>
          </w:tcPr>
          <w:p w:rsidR="00F60B5F" w:rsidRPr="00550D6F" w:rsidRDefault="00F60B5F" w:rsidP="00550D6F">
            <w:pPr>
              <w:pStyle w:val="Tabletextcentred"/>
              <w:rPr>
                <w:rFonts w:eastAsiaTheme="minorEastAsia"/>
                <w:i/>
                <w:sz w:val="16"/>
              </w:rPr>
            </w:pPr>
            <w:r w:rsidRPr="00550D6F">
              <w:rPr>
                <w:rFonts w:eastAsiaTheme="minorEastAsia"/>
                <w:i/>
                <w:sz w:val="16"/>
              </w:rPr>
              <w:t xml:space="preserve"> </w:t>
            </w:r>
          </w:p>
        </w:tc>
        <w:tc>
          <w:tcPr>
            <w:tcW w:w="817" w:type="dxa"/>
            <w:tcBorders>
              <w:top w:val="single" w:sz="4" w:space="0" w:color="auto"/>
              <w:left w:val="nil"/>
              <w:bottom w:val="nil"/>
              <w:right w:val="nil"/>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2013</w:t>
            </w:r>
            <w:r>
              <w:rPr>
                <w:rFonts w:eastAsiaTheme="minorEastAsia"/>
                <w:i/>
                <w:sz w:val="16"/>
                <w:lang w:eastAsia="en-AU"/>
              </w:rPr>
              <w:noBreakHyphen/>
            </w:r>
            <w:r w:rsidRPr="00550D6F">
              <w:rPr>
                <w:rFonts w:eastAsiaTheme="minorEastAsia"/>
                <w:i/>
                <w:sz w:val="16"/>
                <w:lang w:eastAsia="en-AU"/>
              </w:rPr>
              <w:t>14</w:t>
            </w:r>
          </w:p>
        </w:tc>
        <w:tc>
          <w:tcPr>
            <w:tcW w:w="817" w:type="dxa"/>
            <w:tcBorders>
              <w:top w:val="single" w:sz="4" w:space="0" w:color="auto"/>
              <w:left w:val="nil"/>
              <w:bottom w:val="nil"/>
              <w:right w:val="nil"/>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2013</w:t>
            </w:r>
            <w:r>
              <w:rPr>
                <w:rFonts w:eastAsiaTheme="minorEastAsia"/>
                <w:i/>
                <w:sz w:val="16"/>
                <w:lang w:eastAsia="en-AU"/>
              </w:rPr>
              <w:noBreakHyphen/>
            </w:r>
            <w:r w:rsidRPr="00550D6F">
              <w:rPr>
                <w:rFonts w:eastAsiaTheme="minorEastAsia"/>
                <w:i/>
                <w:sz w:val="16"/>
                <w:lang w:eastAsia="en-AU"/>
              </w:rPr>
              <w:t>14</w:t>
            </w:r>
          </w:p>
        </w:tc>
        <w:tc>
          <w:tcPr>
            <w:tcW w:w="817" w:type="dxa"/>
            <w:tcBorders>
              <w:top w:val="single" w:sz="4" w:space="0" w:color="auto"/>
              <w:left w:val="nil"/>
              <w:bottom w:val="nil"/>
              <w:right w:val="nil"/>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2014</w:t>
            </w:r>
            <w:r>
              <w:rPr>
                <w:rFonts w:eastAsiaTheme="minorEastAsia"/>
                <w:i/>
                <w:sz w:val="16"/>
                <w:lang w:eastAsia="en-AU"/>
              </w:rPr>
              <w:noBreakHyphen/>
            </w:r>
            <w:r w:rsidRPr="00550D6F">
              <w:rPr>
                <w:rFonts w:eastAsiaTheme="minorEastAsia"/>
                <w:i/>
                <w:sz w:val="16"/>
                <w:lang w:eastAsia="en-AU"/>
              </w:rPr>
              <w:t>15</w:t>
            </w:r>
          </w:p>
        </w:tc>
        <w:tc>
          <w:tcPr>
            <w:tcW w:w="817" w:type="dxa"/>
            <w:tcBorders>
              <w:top w:val="single" w:sz="4" w:space="0" w:color="auto"/>
              <w:left w:val="nil"/>
              <w:bottom w:val="nil"/>
              <w:right w:val="nil"/>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2015</w:t>
            </w:r>
            <w:r>
              <w:rPr>
                <w:rFonts w:eastAsiaTheme="minorEastAsia"/>
                <w:i/>
                <w:sz w:val="16"/>
                <w:lang w:eastAsia="en-AU"/>
              </w:rPr>
              <w:noBreakHyphen/>
            </w:r>
            <w:r w:rsidRPr="00550D6F">
              <w:rPr>
                <w:rFonts w:eastAsiaTheme="minorEastAsia"/>
                <w:i/>
                <w:sz w:val="16"/>
                <w:lang w:eastAsia="en-AU"/>
              </w:rPr>
              <w:t>16</w:t>
            </w:r>
          </w:p>
        </w:tc>
        <w:tc>
          <w:tcPr>
            <w:tcW w:w="817" w:type="dxa"/>
            <w:tcBorders>
              <w:top w:val="single" w:sz="4" w:space="0" w:color="auto"/>
              <w:left w:val="nil"/>
              <w:bottom w:val="nil"/>
              <w:right w:val="single" w:sz="4" w:space="0" w:color="auto"/>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2016</w:t>
            </w:r>
            <w:r>
              <w:rPr>
                <w:rFonts w:eastAsiaTheme="minorEastAsia"/>
                <w:i/>
                <w:sz w:val="16"/>
                <w:lang w:eastAsia="en-AU"/>
              </w:rPr>
              <w:noBreakHyphen/>
            </w:r>
            <w:r w:rsidRPr="00550D6F">
              <w:rPr>
                <w:rFonts w:eastAsiaTheme="minorEastAsia"/>
                <w:i/>
                <w:sz w:val="16"/>
                <w:lang w:eastAsia="en-AU"/>
              </w:rPr>
              <w:t>17</w:t>
            </w:r>
          </w:p>
        </w:tc>
      </w:tr>
      <w:tr w:rsidR="00F60B5F" w:rsidRPr="00550D6F" w:rsidTr="00550D6F">
        <w:trPr>
          <w:cantSplit/>
        </w:trPr>
        <w:tc>
          <w:tcPr>
            <w:tcW w:w="2995" w:type="dxa"/>
            <w:tcBorders>
              <w:top w:val="nil"/>
              <w:left w:val="single" w:sz="4" w:space="0" w:color="auto"/>
              <w:bottom w:val="single" w:sz="4" w:space="0" w:color="auto"/>
              <w:right w:val="nil"/>
            </w:tcBorders>
            <w:shd w:val="clear" w:color="000000" w:fill="000000"/>
          </w:tcPr>
          <w:p w:rsidR="00F60B5F" w:rsidRPr="00550D6F" w:rsidRDefault="00F60B5F" w:rsidP="00550D6F">
            <w:pPr>
              <w:pStyle w:val="Tabletext"/>
              <w:rPr>
                <w:rFonts w:eastAsiaTheme="minorEastAsia"/>
                <w:i/>
                <w:sz w:val="16"/>
                <w:lang w:eastAsia="en-AU"/>
              </w:rPr>
            </w:pPr>
            <w:r w:rsidRPr="00550D6F">
              <w:rPr>
                <w:rFonts w:eastAsiaTheme="minorEastAsia"/>
                <w:i/>
                <w:sz w:val="16"/>
                <w:lang w:eastAsia="en-AU"/>
              </w:rPr>
              <w:t xml:space="preserve"> </w:t>
            </w:r>
          </w:p>
        </w:tc>
        <w:tc>
          <w:tcPr>
            <w:tcW w:w="680" w:type="dxa"/>
            <w:gridSpan w:val="2"/>
            <w:tcBorders>
              <w:top w:val="nil"/>
              <w:left w:val="nil"/>
              <w:bottom w:val="single" w:sz="4" w:space="0" w:color="auto"/>
              <w:right w:val="nil"/>
            </w:tcBorders>
            <w:shd w:val="clear" w:color="000000" w:fill="000000"/>
          </w:tcPr>
          <w:p w:rsidR="00F60B5F" w:rsidRPr="00550D6F" w:rsidRDefault="00F60B5F" w:rsidP="00550D6F">
            <w:pPr>
              <w:pStyle w:val="Tabletextcentred"/>
              <w:rPr>
                <w:rFonts w:eastAsiaTheme="minorEastAsia"/>
                <w:i/>
                <w:sz w:val="16"/>
              </w:rPr>
            </w:pPr>
            <w:r w:rsidRPr="00550D6F">
              <w:rPr>
                <w:rFonts w:eastAsiaTheme="minorEastAsia"/>
                <w:i/>
                <w:sz w:val="16"/>
              </w:rPr>
              <w:t>Notes</w:t>
            </w:r>
          </w:p>
        </w:tc>
        <w:tc>
          <w:tcPr>
            <w:tcW w:w="817" w:type="dxa"/>
            <w:tcBorders>
              <w:top w:val="nil"/>
              <w:left w:val="nil"/>
              <w:bottom w:val="single" w:sz="4" w:space="0" w:color="auto"/>
              <w:right w:val="nil"/>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Budget</w:t>
            </w:r>
          </w:p>
        </w:tc>
        <w:tc>
          <w:tcPr>
            <w:tcW w:w="817" w:type="dxa"/>
            <w:tcBorders>
              <w:top w:val="nil"/>
              <w:left w:val="nil"/>
              <w:bottom w:val="single" w:sz="4" w:space="0" w:color="auto"/>
              <w:right w:val="nil"/>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Revised</w:t>
            </w:r>
          </w:p>
        </w:tc>
        <w:tc>
          <w:tcPr>
            <w:tcW w:w="817" w:type="dxa"/>
            <w:tcBorders>
              <w:top w:val="nil"/>
              <w:left w:val="nil"/>
              <w:bottom w:val="single" w:sz="4" w:space="0" w:color="auto"/>
              <w:right w:val="nil"/>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Estimate</w:t>
            </w:r>
          </w:p>
        </w:tc>
        <w:tc>
          <w:tcPr>
            <w:tcW w:w="817" w:type="dxa"/>
            <w:tcBorders>
              <w:top w:val="nil"/>
              <w:left w:val="nil"/>
              <w:bottom w:val="single" w:sz="4" w:space="0" w:color="auto"/>
              <w:right w:val="nil"/>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Estimate</w:t>
            </w:r>
          </w:p>
        </w:tc>
        <w:tc>
          <w:tcPr>
            <w:tcW w:w="817" w:type="dxa"/>
            <w:tcBorders>
              <w:top w:val="nil"/>
              <w:left w:val="nil"/>
              <w:bottom w:val="single" w:sz="4" w:space="0" w:color="auto"/>
              <w:right w:val="single" w:sz="4" w:space="0" w:color="auto"/>
            </w:tcBorders>
            <w:shd w:val="clear" w:color="000000" w:fill="000000"/>
          </w:tcPr>
          <w:p w:rsidR="00F60B5F" w:rsidRPr="00550D6F" w:rsidRDefault="00F60B5F" w:rsidP="00550D6F">
            <w:pPr>
              <w:pStyle w:val="TableofFigures"/>
              <w:rPr>
                <w:rFonts w:eastAsiaTheme="minorEastAsia"/>
                <w:i/>
                <w:sz w:val="16"/>
                <w:lang w:eastAsia="en-AU"/>
              </w:rPr>
            </w:pPr>
            <w:r w:rsidRPr="00550D6F">
              <w:rPr>
                <w:rFonts w:eastAsiaTheme="minorEastAsia"/>
                <w:i/>
                <w:sz w:val="16"/>
                <w:lang w:eastAsia="en-AU"/>
              </w:rPr>
              <w:t>Estimate</w:t>
            </w:r>
          </w:p>
        </w:tc>
      </w:tr>
      <w:tr w:rsidR="00F60B5F" w:rsidRPr="006C00BC" w:rsidTr="00550D6F">
        <w:trPr>
          <w:cantSplit/>
        </w:trPr>
        <w:tc>
          <w:tcPr>
            <w:tcW w:w="3077" w:type="dxa"/>
            <w:gridSpan w:val="2"/>
            <w:tcBorders>
              <w:top w:val="single" w:sz="4" w:space="0" w:color="auto"/>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Net gain/(loss) on equity investments in other sector entities at proportional share of the carrying amount of net assets</w:t>
            </w:r>
          </w:p>
        </w:tc>
        <w:tc>
          <w:tcPr>
            <w:tcW w:w="598" w:type="dxa"/>
            <w:tcBorders>
              <w:top w:val="single" w:sz="4" w:space="0" w:color="auto"/>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1 559.2</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1 683.9</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2 626.0</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cs="Calibri"/>
                <w:sz w:val="16"/>
                <w:szCs w:val="22"/>
                <w:lang w:eastAsia="en-AU"/>
              </w:rPr>
            </w:pPr>
            <w:r w:rsidRPr="006C00BC">
              <w:rPr>
                <w:rFonts w:eastAsiaTheme="minorEastAsia"/>
                <w:sz w:val="16"/>
                <w:lang w:eastAsia="en-AU"/>
              </w:rPr>
              <w:t>1 028.5</w:t>
            </w:r>
          </w:p>
        </w:tc>
        <w:tc>
          <w:tcPr>
            <w:tcW w:w="817" w:type="dxa"/>
            <w:tcBorders>
              <w:top w:val="single" w:sz="4" w:space="0" w:color="auto"/>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( 406.2)</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Other movements in equity</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2.3</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7.6</w:t>
            </w:r>
          </w:p>
        </w:tc>
        <w:tc>
          <w:tcPr>
            <w:tcW w:w="817" w:type="dxa"/>
            <w:tcBorders>
              <w:top w:val="nil"/>
              <w:left w:val="nil"/>
              <w:bottom w:val="nil"/>
              <w:right w:val="nil"/>
            </w:tcBorders>
          </w:tcPr>
          <w:p w:rsidR="00F60B5F" w:rsidRPr="006C00BC" w:rsidRDefault="00F60B5F" w:rsidP="00820AF8">
            <w:pPr>
              <w:pStyle w:val="TableofFigures"/>
              <w:rPr>
                <w:rFonts w:eastAsiaTheme="minorEastAsia" w:cs="Calibri"/>
                <w:sz w:val="16"/>
                <w:szCs w:val="22"/>
                <w:lang w:eastAsia="en-AU"/>
              </w:rPr>
            </w:pPr>
            <w:r w:rsidRPr="006C00BC">
              <w:rPr>
                <w:rFonts w:eastAsiaTheme="minorEastAsia"/>
                <w:sz w:val="16"/>
                <w:lang w:eastAsia="en-AU"/>
              </w:rPr>
              <w:t>( 434.5</w:t>
            </w:r>
            <w:r w:rsidRPr="006C00BC">
              <w:rPr>
                <w:rFonts w:eastAsiaTheme="minorEastAsia" w:cs="Calibri"/>
                <w:sz w:val="16"/>
                <w:szCs w:val="22"/>
                <w:lang w:eastAsia="en-AU"/>
              </w:rPr>
              <w:t>)</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( 4.7)</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( 7.4)</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Items that may be reclassified subsequently to net result</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Net gain/(loss) on financial assets at fair value</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1.0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1.0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1.0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1.0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 xml:space="preserve"> 1.1</w:t>
            </w:r>
          </w:p>
        </w:tc>
      </w:tr>
      <w:tr w:rsidR="00F60B5F" w:rsidRPr="006C00BC" w:rsidTr="00820AF8">
        <w:tc>
          <w:tcPr>
            <w:tcW w:w="2995" w:type="dxa"/>
            <w:tcBorders>
              <w:top w:val="single" w:sz="6" w:space="0" w:color="auto"/>
              <w:left w:val="nil"/>
              <w:bottom w:val="single" w:sz="6" w:space="0" w:color="auto"/>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Total other economic flows – other comprehensive income</w:t>
            </w:r>
          </w:p>
        </w:tc>
        <w:tc>
          <w:tcPr>
            <w:tcW w:w="680" w:type="dxa"/>
            <w:gridSpan w:val="2"/>
            <w:tcBorders>
              <w:top w:val="single" w:sz="6" w:space="0" w:color="auto"/>
              <w:left w:val="nil"/>
              <w:bottom w:val="single" w:sz="6"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6 073.5</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4 340.7</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6 294.0</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2 596.4</w:t>
            </w:r>
          </w:p>
        </w:tc>
        <w:tc>
          <w:tcPr>
            <w:tcW w:w="817" w:type="dxa"/>
            <w:tcBorders>
              <w:top w:val="single" w:sz="6" w:space="0" w:color="auto"/>
              <w:left w:val="nil"/>
              <w:bottom w:val="single" w:sz="6"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2 124.2</w:t>
            </w:r>
          </w:p>
        </w:tc>
      </w:tr>
      <w:tr w:rsidR="00F60B5F" w:rsidRPr="006C00BC" w:rsidTr="00820AF8">
        <w:tc>
          <w:tcPr>
            <w:tcW w:w="2995" w:type="dxa"/>
            <w:tcBorders>
              <w:top w:val="single" w:sz="6" w:space="0" w:color="auto"/>
              <w:left w:val="nil"/>
              <w:bottom w:val="single" w:sz="12" w:space="0" w:color="auto"/>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Comprehensive result – total change in net worth</w:t>
            </w:r>
          </w:p>
        </w:tc>
        <w:tc>
          <w:tcPr>
            <w:tcW w:w="680" w:type="dxa"/>
            <w:gridSpan w:val="2"/>
            <w:tcBorders>
              <w:top w:val="single" w:sz="6" w:space="0" w:color="auto"/>
              <w:left w:val="nil"/>
              <w:bottom w:val="single" w:sz="12"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6 033.9</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4 398.8</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7 024.6</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4 425.8</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4 620.2</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KEY FISCAL AGGREGATES</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Net operating balance</w:t>
            </w:r>
          </w:p>
        </w:tc>
        <w:tc>
          <w:tcPr>
            <w:tcW w:w="680" w:type="dxa"/>
            <w:gridSpan w:val="2"/>
            <w:tcBorders>
              <w:top w:val="nil"/>
              <w:left w:val="nil"/>
              <w:bottom w:val="nil"/>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224.5</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221.8</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 xml:space="preserve"> 911.0</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2 051.5</w:t>
            </w:r>
          </w:p>
        </w:tc>
        <w:tc>
          <w:tcPr>
            <w:tcW w:w="817" w:type="dxa"/>
            <w:tcBorders>
              <w:top w:val="nil"/>
              <w:left w:val="nil"/>
              <w:bottom w:val="nil"/>
              <w:right w:val="nil"/>
            </w:tcBorders>
          </w:tcPr>
          <w:p w:rsidR="00F60B5F" w:rsidRPr="006C00BC" w:rsidRDefault="00F60B5F" w:rsidP="00820AF8">
            <w:pPr>
              <w:pStyle w:val="TableofFigures"/>
              <w:rPr>
                <w:rFonts w:eastAsiaTheme="minorEastAsia"/>
                <w:b/>
                <w:sz w:val="16"/>
                <w:lang w:eastAsia="en-AU"/>
              </w:rPr>
            </w:pPr>
            <w:r w:rsidRPr="006C00BC">
              <w:rPr>
                <w:rFonts w:eastAsiaTheme="minorEastAsia"/>
                <w:b/>
                <w:sz w:val="16"/>
                <w:lang w:eastAsia="en-AU"/>
              </w:rPr>
              <w:t>2 718.9</w:t>
            </w:r>
          </w:p>
        </w:tc>
      </w:tr>
      <w:tr w:rsidR="00F60B5F" w:rsidRPr="006C00BC" w:rsidTr="00820AF8">
        <w:tc>
          <w:tcPr>
            <w:tcW w:w="2995" w:type="dxa"/>
            <w:tcBorders>
              <w:top w:val="nil"/>
              <w:left w:val="nil"/>
              <w:bottom w:val="nil"/>
              <w:right w:val="nil"/>
            </w:tcBorders>
          </w:tcPr>
          <w:p w:rsidR="00F60B5F" w:rsidRPr="006C00BC" w:rsidRDefault="00F60B5F" w:rsidP="00820AF8">
            <w:pPr>
              <w:pStyle w:val="Tabletext"/>
              <w:rPr>
                <w:rFonts w:eastAsiaTheme="minorEastAsia"/>
                <w:sz w:val="16"/>
                <w:lang w:eastAsia="en-AU"/>
              </w:rPr>
            </w:pPr>
            <w:r w:rsidRPr="006C00BC">
              <w:rPr>
                <w:rFonts w:eastAsiaTheme="minorEastAsia"/>
                <w:sz w:val="16"/>
                <w:lang w:eastAsia="en-AU"/>
              </w:rPr>
              <w:t>Less: Net acquisition of non</w:t>
            </w:r>
            <w:r>
              <w:rPr>
                <w:rFonts w:eastAsiaTheme="minorEastAsia"/>
                <w:sz w:val="16"/>
                <w:lang w:eastAsia="en-AU"/>
              </w:rPr>
              <w:noBreakHyphen/>
            </w:r>
            <w:r w:rsidRPr="006C00BC">
              <w:rPr>
                <w:rFonts w:eastAsiaTheme="minorEastAsia"/>
                <w:sz w:val="16"/>
                <w:lang w:eastAsia="en-AU"/>
              </w:rPr>
              <w:t>financial assets from transactions</w:t>
            </w:r>
          </w:p>
        </w:tc>
        <w:tc>
          <w:tcPr>
            <w:tcW w:w="680" w:type="dxa"/>
            <w:gridSpan w:val="2"/>
            <w:tcBorders>
              <w:top w:val="nil"/>
              <w:left w:val="nil"/>
              <w:bottom w:val="single" w:sz="6"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15</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2 120.0</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1 528.6</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1 538.6</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1 109.4</w:t>
            </w:r>
          </w:p>
        </w:tc>
        <w:tc>
          <w:tcPr>
            <w:tcW w:w="817" w:type="dxa"/>
            <w:tcBorders>
              <w:top w:val="nil"/>
              <w:left w:val="nil"/>
              <w:bottom w:val="nil"/>
              <w:right w:val="nil"/>
            </w:tcBorders>
          </w:tcPr>
          <w:p w:rsidR="00F60B5F" w:rsidRPr="006C00BC" w:rsidRDefault="00F60B5F" w:rsidP="00820AF8">
            <w:pPr>
              <w:pStyle w:val="TableofFigures"/>
              <w:rPr>
                <w:rFonts w:eastAsiaTheme="minorEastAsia"/>
                <w:sz w:val="16"/>
                <w:lang w:eastAsia="en-AU"/>
              </w:rPr>
            </w:pPr>
            <w:r w:rsidRPr="006C00BC">
              <w:rPr>
                <w:rFonts w:eastAsiaTheme="minorEastAsia"/>
                <w:sz w:val="16"/>
                <w:lang w:eastAsia="en-AU"/>
              </w:rPr>
              <w:t>1 198.1</w:t>
            </w:r>
          </w:p>
        </w:tc>
      </w:tr>
      <w:tr w:rsidR="00F60B5F" w:rsidRPr="006C00BC" w:rsidTr="00820AF8">
        <w:tc>
          <w:tcPr>
            <w:tcW w:w="2995" w:type="dxa"/>
            <w:tcBorders>
              <w:top w:val="single" w:sz="6" w:space="0" w:color="auto"/>
              <w:left w:val="nil"/>
              <w:bottom w:val="single" w:sz="12" w:space="0" w:color="auto"/>
              <w:right w:val="nil"/>
            </w:tcBorders>
          </w:tcPr>
          <w:p w:rsidR="00F60B5F" w:rsidRPr="006C00BC" w:rsidRDefault="00F60B5F" w:rsidP="00820AF8">
            <w:pPr>
              <w:pStyle w:val="Tabletext"/>
              <w:rPr>
                <w:rFonts w:eastAsiaTheme="minorEastAsia"/>
                <w:b/>
                <w:bCs/>
                <w:sz w:val="16"/>
                <w:lang w:eastAsia="en-AU"/>
              </w:rPr>
            </w:pPr>
            <w:r w:rsidRPr="006C00BC">
              <w:rPr>
                <w:rFonts w:eastAsiaTheme="minorEastAsia"/>
                <w:b/>
                <w:bCs/>
                <w:sz w:val="16"/>
                <w:lang w:eastAsia="en-AU"/>
              </w:rPr>
              <w:t>Net lending/(borrowing)</w:t>
            </w:r>
          </w:p>
        </w:tc>
        <w:tc>
          <w:tcPr>
            <w:tcW w:w="680" w:type="dxa"/>
            <w:gridSpan w:val="2"/>
            <w:tcBorders>
              <w:top w:val="nil"/>
              <w:left w:val="nil"/>
              <w:bottom w:val="single" w:sz="12" w:space="0" w:color="auto"/>
              <w:right w:val="nil"/>
            </w:tcBorders>
          </w:tcPr>
          <w:p w:rsidR="00F60B5F" w:rsidRPr="006C00BC" w:rsidRDefault="00F60B5F" w:rsidP="00820AF8">
            <w:pPr>
              <w:pStyle w:val="Tabletextcentred"/>
              <w:rPr>
                <w:rFonts w:eastAsiaTheme="minorEastAsia"/>
                <w:sz w:val="16"/>
              </w:rPr>
            </w:pPr>
            <w:r w:rsidRPr="006C00BC">
              <w:rPr>
                <w:rFonts w:eastAsiaTheme="minorEastAsia"/>
                <w:sz w:val="16"/>
              </w:rPr>
              <w:t xml:space="preserve"> </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(1 895.6)</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(1 306.9)</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( 627.6)</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 xml:space="preserve"> 942.1</w:t>
            </w:r>
          </w:p>
        </w:tc>
        <w:tc>
          <w:tcPr>
            <w:tcW w:w="817"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6"/>
                <w:lang w:eastAsia="en-AU"/>
              </w:rPr>
            </w:pPr>
            <w:r w:rsidRPr="006C00BC">
              <w:rPr>
                <w:rFonts w:eastAsiaTheme="minorEastAsia"/>
                <w:b/>
                <w:bCs/>
                <w:sz w:val="16"/>
                <w:lang w:eastAsia="en-AU"/>
              </w:rPr>
              <w:t>1 520.8</w:t>
            </w:r>
          </w:p>
        </w:tc>
      </w:tr>
    </w:tbl>
    <w:p w:rsidR="00F60B5F" w:rsidRDefault="00F60B5F" w:rsidP="004C2DF6">
      <w:pPr>
        <w:pStyle w:val="Notes"/>
      </w:pPr>
      <w:r w:rsidRPr="00B56B1C">
        <w:t xml:space="preserve">The accompanying notes form part of these </w:t>
      </w:r>
      <w:r>
        <w:t>estimated financial statements.</w:t>
      </w:r>
    </w:p>
    <w:p w:rsidR="00F60B5F" w:rsidRPr="004C2DF6" w:rsidRDefault="00F60B5F" w:rsidP="004C2DF6">
      <w:pPr>
        <w:pStyle w:val="Notes"/>
      </w:pPr>
    </w:p>
    <w:p w:rsidR="00F60B5F" w:rsidRPr="00B56B1C" w:rsidRDefault="00F60B5F" w:rsidP="00E04B6C">
      <w:pPr>
        <w:pStyle w:val="Tableheading"/>
      </w:pPr>
      <w:r w:rsidRPr="00B56B1C">
        <w:t>Table 5.2:</w:t>
      </w:r>
      <w:r w:rsidRPr="00B56B1C">
        <w:tab/>
        <w:t>Government fiscal result</w:t>
      </w:r>
    </w:p>
    <w:p w:rsidR="00F60B5F" w:rsidRPr="00820AF8" w:rsidRDefault="00F60B5F" w:rsidP="00820AF8">
      <w:pPr>
        <w:pStyle w:val="million"/>
      </w:pPr>
      <w:r w:rsidRPr="00B56B1C">
        <w:t>($</w:t>
      </w:r>
      <w:r>
        <w:t> million</w:t>
      </w:r>
      <w:r w:rsidRPr="00B56B1C">
        <w:t>)</w:t>
      </w:r>
    </w:p>
    <w:tbl>
      <w:tblPr>
        <w:tblW w:w="7776" w:type="dxa"/>
        <w:tblInd w:w="29" w:type="dxa"/>
        <w:tblLayout w:type="fixed"/>
        <w:tblCellMar>
          <w:left w:w="43" w:type="dxa"/>
          <w:right w:w="43" w:type="dxa"/>
        </w:tblCellMar>
        <w:tblLook w:val="0000" w:firstRow="0" w:lastRow="0" w:firstColumn="0" w:lastColumn="0" w:noHBand="0" w:noVBand="0"/>
      </w:tblPr>
      <w:tblGrid>
        <w:gridCol w:w="3254"/>
        <w:gridCol w:w="904"/>
        <w:gridCol w:w="904"/>
        <w:gridCol w:w="905"/>
        <w:gridCol w:w="904"/>
        <w:gridCol w:w="905"/>
      </w:tblGrid>
      <w:tr w:rsidR="00F60B5F" w:rsidRPr="006C00BC" w:rsidTr="00356413">
        <w:tc>
          <w:tcPr>
            <w:tcW w:w="3254" w:type="dxa"/>
            <w:tcBorders>
              <w:top w:val="single" w:sz="6" w:space="0" w:color="000000"/>
              <w:left w:val="single" w:sz="6" w:space="0" w:color="000000"/>
              <w:bottom w:val="nil"/>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 xml:space="preserve"> </w:t>
            </w:r>
          </w:p>
        </w:tc>
        <w:tc>
          <w:tcPr>
            <w:tcW w:w="904" w:type="dxa"/>
            <w:tcBorders>
              <w:top w:val="single" w:sz="6" w:space="0" w:color="000000"/>
              <w:left w:val="nil"/>
              <w:bottom w:val="nil"/>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2013</w:t>
            </w:r>
            <w:r>
              <w:rPr>
                <w:rFonts w:eastAsiaTheme="minorEastAsia"/>
                <w:color w:val="FFFFFF"/>
                <w:sz w:val="17"/>
                <w:lang w:eastAsia="en-AU"/>
              </w:rPr>
              <w:noBreakHyphen/>
            </w:r>
            <w:r w:rsidRPr="006C00BC">
              <w:rPr>
                <w:rFonts w:eastAsiaTheme="minorEastAsia"/>
                <w:color w:val="FFFFFF"/>
                <w:sz w:val="17"/>
                <w:lang w:eastAsia="en-AU"/>
              </w:rPr>
              <w:t>14</w:t>
            </w:r>
          </w:p>
        </w:tc>
        <w:tc>
          <w:tcPr>
            <w:tcW w:w="904" w:type="dxa"/>
            <w:tcBorders>
              <w:top w:val="single" w:sz="6" w:space="0" w:color="000000"/>
              <w:left w:val="nil"/>
              <w:bottom w:val="nil"/>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2013</w:t>
            </w:r>
            <w:r>
              <w:rPr>
                <w:rFonts w:eastAsiaTheme="minorEastAsia"/>
                <w:color w:val="FFFFFF"/>
                <w:sz w:val="17"/>
                <w:lang w:eastAsia="en-AU"/>
              </w:rPr>
              <w:noBreakHyphen/>
            </w:r>
            <w:r w:rsidRPr="006C00BC">
              <w:rPr>
                <w:rFonts w:eastAsiaTheme="minorEastAsia"/>
                <w:color w:val="FFFFFF"/>
                <w:sz w:val="17"/>
                <w:lang w:eastAsia="en-AU"/>
              </w:rPr>
              <w:t>14</w:t>
            </w:r>
          </w:p>
        </w:tc>
        <w:tc>
          <w:tcPr>
            <w:tcW w:w="905" w:type="dxa"/>
            <w:tcBorders>
              <w:top w:val="single" w:sz="6" w:space="0" w:color="000000"/>
              <w:left w:val="nil"/>
              <w:bottom w:val="nil"/>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2014</w:t>
            </w:r>
            <w:r>
              <w:rPr>
                <w:rFonts w:eastAsiaTheme="minorEastAsia"/>
                <w:color w:val="FFFFFF"/>
                <w:sz w:val="17"/>
                <w:lang w:eastAsia="en-AU"/>
              </w:rPr>
              <w:noBreakHyphen/>
            </w:r>
            <w:r w:rsidRPr="006C00BC">
              <w:rPr>
                <w:rFonts w:eastAsiaTheme="minorEastAsia"/>
                <w:color w:val="FFFFFF"/>
                <w:sz w:val="17"/>
                <w:lang w:eastAsia="en-AU"/>
              </w:rPr>
              <w:t>15</w:t>
            </w:r>
          </w:p>
        </w:tc>
        <w:tc>
          <w:tcPr>
            <w:tcW w:w="904" w:type="dxa"/>
            <w:tcBorders>
              <w:top w:val="single" w:sz="6" w:space="0" w:color="000000"/>
              <w:left w:val="nil"/>
              <w:bottom w:val="nil"/>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2015</w:t>
            </w:r>
            <w:r>
              <w:rPr>
                <w:rFonts w:eastAsiaTheme="minorEastAsia"/>
                <w:color w:val="FFFFFF"/>
                <w:sz w:val="17"/>
                <w:lang w:eastAsia="en-AU"/>
              </w:rPr>
              <w:noBreakHyphen/>
            </w:r>
            <w:r w:rsidRPr="006C00BC">
              <w:rPr>
                <w:rFonts w:eastAsiaTheme="minorEastAsia"/>
                <w:color w:val="FFFFFF"/>
                <w:sz w:val="17"/>
                <w:lang w:eastAsia="en-AU"/>
              </w:rPr>
              <w:t>16</w:t>
            </w:r>
          </w:p>
        </w:tc>
        <w:tc>
          <w:tcPr>
            <w:tcW w:w="905" w:type="dxa"/>
            <w:tcBorders>
              <w:top w:val="single" w:sz="6" w:space="0" w:color="000000"/>
              <w:left w:val="nil"/>
              <w:bottom w:val="nil"/>
              <w:right w:val="single" w:sz="6" w:space="0" w:color="000000"/>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2016</w:t>
            </w:r>
            <w:r>
              <w:rPr>
                <w:rFonts w:eastAsiaTheme="minorEastAsia"/>
                <w:color w:val="FFFFFF"/>
                <w:sz w:val="17"/>
                <w:lang w:eastAsia="en-AU"/>
              </w:rPr>
              <w:noBreakHyphen/>
            </w:r>
            <w:r w:rsidRPr="006C00BC">
              <w:rPr>
                <w:rFonts w:eastAsiaTheme="minorEastAsia"/>
                <w:color w:val="FFFFFF"/>
                <w:sz w:val="17"/>
                <w:lang w:eastAsia="en-AU"/>
              </w:rPr>
              <w:t>17</w:t>
            </w:r>
          </w:p>
        </w:tc>
      </w:tr>
      <w:tr w:rsidR="00F60B5F" w:rsidRPr="006C00BC" w:rsidTr="00356413">
        <w:tc>
          <w:tcPr>
            <w:tcW w:w="3254" w:type="dxa"/>
            <w:tcBorders>
              <w:top w:val="nil"/>
              <w:left w:val="single" w:sz="6" w:space="0" w:color="000000"/>
              <w:bottom w:val="single" w:sz="6" w:space="0" w:color="000000"/>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 xml:space="preserve"> </w:t>
            </w:r>
          </w:p>
        </w:tc>
        <w:tc>
          <w:tcPr>
            <w:tcW w:w="904" w:type="dxa"/>
            <w:tcBorders>
              <w:top w:val="nil"/>
              <w:left w:val="nil"/>
              <w:bottom w:val="single" w:sz="6" w:space="0" w:color="000000"/>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Budget</w:t>
            </w:r>
          </w:p>
        </w:tc>
        <w:tc>
          <w:tcPr>
            <w:tcW w:w="904" w:type="dxa"/>
            <w:tcBorders>
              <w:top w:val="nil"/>
              <w:left w:val="nil"/>
              <w:bottom w:val="single" w:sz="6" w:space="0" w:color="000000"/>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Revised</w:t>
            </w:r>
          </w:p>
        </w:tc>
        <w:tc>
          <w:tcPr>
            <w:tcW w:w="905" w:type="dxa"/>
            <w:tcBorders>
              <w:top w:val="nil"/>
              <w:left w:val="nil"/>
              <w:bottom w:val="single" w:sz="6" w:space="0" w:color="000000"/>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Estimate</w:t>
            </w:r>
          </w:p>
        </w:tc>
        <w:tc>
          <w:tcPr>
            <w:tcW w:w="904" w:type="dxa"/>
            <w:tcBorders>
              <w:top w:val="nil"/>
              <w:left w:val="nil"/>
              <w:bottom w:val="single" w:sz="6" w:space="0" w:color="000000"/>
              <w:right w:val="nil"/>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Estimate</w:t>
            </w:r>
          </w:p>
        </w:tc>
        <w:tc>
          <w:tcPr>
            <w:tcW w:w="905" w:type="dxa"/>
            <w:tcBorders>
              <w:top w:val="nil"/>
              <w:left w:val="nil"/>
              <w:bottom w:val="single" w:sz="6" w:space="0" w:color="000000"/>
              <w:right w:val="single" w:sz="6" w:space="0" w:color="000000"/>
            </w:tcBorders>
            <w:shd w:val="clear" w:color="auto" w:fill="000000"/>
          </w:tcPr>
          <w:p w:rsidR="00F60B5F" w:rsidRPr="006C00BC" w:rsidRDefault="00F60B5F" w:rsidP="00820AF8">
            <w:pPr>
              <w:pStyle w:val="Tabletextheading"/>
              <w:rPr>
                <w:rFonts w:eastAsiaTheme="minorEastAsia"/>
                <w:color w:val="FFFFFF"/>
                <w:sz w:val="17"/>
                <w:lang w:eastAsia="en-AU"/>
              </w:rPr>
            </w:pPr>
            <w:r w:rsidRPr="006C00BC">
              <w:rPr>
                <w:rFonts w:eastAsiaTheme="minorEastAsia"/>
                <w:color w:val="FFFFFF"/>
                <w:sz w:val="17"/>
                <w:lang w:eastAsia="en-AU"/>
              </w:rPr>
              <w:t>Estimate</w:t>
            </w:r>
          </w:p>
        </w:tc>
      </w:tr>
      <w:tr w:rsidR="00F60B5F" w:rsidRPr="006C00BC" w:rsidTr="00356413">
        <w:tc>
          <w:tcPr>
            <w:tcW w:w="3254" w:type="dxa"/>
            <w:tcBorders>
              <w:top w:val="single" w:sz="6" w:space="0" w:color="000000"/>
              <w:left w:val="nil"/>
              <w:bottom w:val="nil"/>
              <w:right w:val="nil"/>
            </w:tcBorders>
          </w:tcPr>
          <w:p w:rsidR="00F60B5F" w:rsidRPr="006C00BC" w:rsidRDefault="00F60B5F" w:rsidP="00820AF8">
            <w:pPr>
              <w:pStyle w:val="Tabletext"/>
              <w:rPr>
                <w:rFonts w:eastAsiaTheme="minorEastAsia"/>
                <w:b/>
                <w:bCs/>
                <w:sz w:val="17"/>
                <w:lang w:eastAsia="en-AU"/>
              </w:rPr>
            </w:pPr>
            <w:r w:rsidRPr="006C00BC">
              <w:rPr>
                <w:rFonts w:eastAsiaTheme="minorEastAsia"/>
                <w:b/>
                <w:bCs/>
                <w:sz w:val="17"/>
                <w:lang w:eastAsia="en-AU"/>
              </w:rPr>
              <w:t>GOVERNMENT FISCAL PARAMETER</w:t>
            </w:r>
          </w:p>
        </w:tc>
        <w:tc>
          <w:tcPr>
            <w:tcW w:w="904" w:type="dxa"/>
            <w:tcBorders>
              <w:top w:val="single" w:sz="6" w:space="0" w:color="000000"/>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w:t>
            </w:r>
          </w:p>
        </w:tc>
        <w:tc>
          <w:tcPr>
            <w:tcW w:w="904" w:type="dxa"/>
            <w:tcBorders>
              <w:top w:val="single" w:sz="6" w:space="0" w:color="000000"/>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w:t>
            </w:r>
          </w:p>
        </w:tc>
        <w:tc>
          <w:tcPr>
            <w:tcW w:w="905" w:type="dxa"/>
            <w:tcBorders>
              <w:top w:val="single" w:sz="6" w:space="0" w:color="000000"/>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w:t>
            </w:r>
          </w:p>
        </w:tc>
        <w:tc>
          <w:tcPr>
            <w:tcW w:w="904" w:type="dxa"/>
            <w:tcBorders>
              <w:top w:val="single" w:sz="6" w:space="0" w:color="000000"/>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w:t>
            </w:r>
          </w:p>
        </w:tc>
        <w:tc>
          <w:tcPr>
            <w:tcW w:w="905" w:type="dxa"/>
            <w:tcBorders>
              <w:top w:val="single" w:sz="6" w:space="0" w:color="000000"/>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w:t>
            </w:r>
          </w:p>
        </w:tc>
      </w:tr>
      <w:tr w:rsidR="00F60B5F" w:rsidRPr="006C00BC" w:rsidTr="00356413">
        <w:tc>
          <w:tcPr>
            <w:tcW w:w="3254" w:type="dxa"/>
            <w:tcBorders>
              <w:top w:val="nil"/>
              <w:left w:val="nil"/>
              <w:bottom w:val="nil"/>
              <w:right w:val="nil"/>
            </w:tcBorders>
          </w:tcPr>
          <w:p w:rsidR="00F60B5F" w:rsidRPr="006C00BC" w:rsidRDefault="00F60B5F" w:rsidP="00820AF8">
            <w:pPr>
              <w:pStyle w:val="Tabletext"/>
              <w:rPr>
                <w:rFonts w:eastAsiaTheme="minorEastAsia"/>
                <w:b/>
                <w:bCs/>
                <w:sz w:val="17"/>
                <w:lang w:eastAsia="en-AU"/>
              </w:rPr>
            </w:pPr>
            <w:r w:rsidRPr="006C00BC">
              <w:rPr>
                <w:rFonts w:eastAsiaTheme="minorEastAsia"/>
                <w:b/>
                <w:bCs/>
                <w:sz w:val="17"/>
                <w:lang w:eastAsia="en-AU"/>
              </w:rPr>
              <w:t>Net operating balance</w:t>
            </w:r>
          </w:p>
        </w:tc>
        <w:tc>
          <w:tcPr>
            <w:tcW w:w="904"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224.5</w:t>
            </w:r>
          </w:p>
        </w:tc>
        <w:tc>
          <w:tcPr>
            <w:tcW w:w="904"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221.8</w:t>
            </w:r>
          </w:p>
        </w:tc>
        <w:tc>
          <w:tcPr>
            <w:tcW w:w="905"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911.0</w:t>
            </w:r>
          </w:p>
        </w:tc>
        <w:tc>
          <w:tcPr>
            <w:tcW w:w="904"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2 051.5</w:t>
            </w:r>
          </w:p>
        </w:tc>
        <w:tc>
          <w:tcPr>
            <w:tcW w:w="905"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2 718.9</w:t>
            </w:r>
          </w:p>
        </w:tc>
      </w:tr>
      <w:tr w:rsidR="00F60B5F" w:rsidRPr="006C00BC" w:rsidTr="00356413">
        <w:tc>
          <w:tcPr>
            <w:tcW w:w="3254" w:type="dxa"/>
            <w:tcBorders>
              <w:top w:val="nil"/>
              <w:left w:val="nil"/>
              <w:bottom w:val="single" w:sz="6" w:space="0" w:color="auto"/>
              <w:right w:val="nil"/>
            </w:tcBorders>
          </w:tcPr>
          <w:p w:rsidR="00F60B5F" w:rsidRPr="006C00BC" w:rsidRDefault="00F60B5F" w:rsidP="00820AF8">
            <w:pPr>
              <w:pStyle w:val="Tabletext"/>
              <w:rPr>
                <w:rFonts w:eastAsiaTheme="minorEastAsia"/>
                <w:sz w:val="17"/>
                <w:lang w:eastAsia="en-AU"/>
              </w:rPr>
            </w:pPr>
            <w:r w:rsidRPr="006C00BC">
              <w:rPr>
                <w:rFonts w:eastAsiaTheme="minorEastAsia"/>
                <w:sz w:val="17"/>
                <w:lang w:eastAsia="en-AU"/>
              </w:rPr>
              <w:t xml:space="preserve">Plus: Expected return on superannuation assets in excess of </w:t>
            </w:r>
            <w:r>
              <w:rPr>
                <w:rFonts w:eastAsiaTheme="minorEastAsia"/>
                <w:sz w:val="17"/>
                <w:lang w:eastAsia="en-AU"/>
              </w:rPr>
              <w:t>AASB </w:t>
            </w:r>
            <w:r w:rsidRPr="006C00BC">
              <w:rPr>
                <w:rFonts w:eastAsiaTheme="minorEastAsia"/>
                <w:sz w:val="17"/>
                <w:lang w:eastAsia="en-AU"/>
              </w:rPr>
              <w:t>119 discount rate taken to other comprehensive income</w:t>
            </w:r>
          </w:p>
        </w:tc>
        <w:tc>
          <w:tcPr>
            <w:tcW w:w="904"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593.2</w:t>
            </w:r>
          </w:p>
        </w:tc>
        <w:tc>
          <w:tcPr>
            <w:tcW w:w="904"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541.2</w:t>
            </w:r>
          </w:p>
        </w:tc>
        <w:tc>
          <w:tcPr>
            <w:tcW w:w="905"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564.7</w:t>
            </w:r>
          </w:p>
        </w:tc>
        <w:tc>
          <w:tcPr>
            <w:tcW w:w="904"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576.8</w:t>
            </w:r>
          </w:p>
        </w:tc>
        <w:tc>
          <w:tcPr>
            <w:tcW w:w="905" w:type="dxa"/>
            <w:tcBorders>
              <w:top w:val="nil"/>
              <w:left w:val="nil"/>
              <w:bottom w:val="nil"/>
              <w:right w:val="nil"/>
            </w:tcBorders>
          </w:tcPr>
          <w:p w:rsidR="00F60B5F" w:rsidRPr="006C00BC" w:rsidRDefault="00F60B5F" w:rsidP="00820AF8">
            <w:pPr>
              <w:pStyle w:val="TableofFigures"/>
              <w:rPr>
                <w:rFonts w:eastAsiaTheme="minorEastAsia"/>
                <w:sz w:val="17"/>
                <w:szCs w:val="22"/>
                <w:lang w:eastAsia="en-AU"/>
              </w:rPr>
            </w:pPr>
            <w:r w:rsidRPr="006C00BC">
              <w:rPr>
                <w:rFonts w:eastAsiaTheme="minorEastAsia"/>
                <w:sz w:val="17"/>
                <w:szCs w:val="22"/>
                <w:lang w:eastAsia="en-AU"/>
              </w:rPr>
              <w:t xml:space="preserve"> 588.2</w:t>
            </w:r>
          </w:p>
        </w:tc>
      </w:tr>
      <w:tr w:rsidR="00F60B5F" w:rsidRPr="006C00BC" w:rsidTr="00356413">
        <w:tc>
          <w:tcPr>
            <w:tcW w:w="3254" w:type="dxa"/>
            <w:tcBorders>
              <w:top w:val="single" w:sz="6" w:space="0" w:color="auto"/>
              <w:left w:val="nil"/>
              <w:bottom w:val="single" w:sz="12" w:space="0" w:color="auto"/>
              <w:right w:val="nil"/>
            </w:tcBorders>
          </w:tcPr>
          <w:p w:rsidR="00F60B5F" w:rsidRPr="006C00BC" w:rsidRDefault="00F60B5F" w:rsidP="00820AF8">
            <w:pPr>
              <w:pStyle w:val="Tabletext"/>
              <w:rPr>
                <w:rFonts w:eastAsiaTheme="minorEastAsia"/>
                <w:b/>
                <w:bCs/>
                <w:sz w:val="17"/>
                <w:lang w:eastAsia="en-AU"/>
              </w:rPr>
            </w:pPr>
            <w:r w:rsidRPr="006C00BC">
              <w:rPr>
                <w:rFonts w:eastAsiaTheme="minorEastAsia"/>
                <w:b/>
                <w:bCs/>
                <w:sz w:val="17"/>
                <w:lang w:eastAsia="en-AU"/>
              </w:rPr>
              <w:t>Government fiscal result</w:t>
            </w:r>
          </w:p>
        </w:tc>
        <w:tc>
          <w:tcPr>
            <w:tcW w:w="904"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7"/>
                <w:szCs w:val="22"/>
                <w:lang w:eastAsia="en-AU"/>
              </w:rPr>
            </w:pPr>
            <w:r w:rsidRPr="006C00BC">
              <w:rPr>
                <w:rFonts w:eastAsiaTheme="minorEastAsia"/>
                <w:b/>
                <w:bCs/>
                <w:sz w:val="17"/>
                <w:szCs w:val="22"/>
                <w:lang w:eastAsia="en-AU"/>
              </w:rPr>
              <w:t xml:space="preserve"> 817.7</w:t>
            </w:r>
          </w:p>
        </w:tc>
        <w:tc>
          <w:tcPr>
            <w:tcW w:w="904"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7"/>
                <w:szCs w:val="22"/>
                <w:lang w:eastAsia="en-AU"/>
              </w:rPr>
            </w:pPr>
            <w:r w:rsidRPr="006C00BC">
              <w:rPr>
                <w:rFonts w:eastAsiaTheme="minorEastAsia"/>
                <w:b/>
                <w:bCs/>
                <w:sz w:val="17"/>
                <w:szCs w:val="22"/>
                <w:lang w:eastAsia="en-AU"/>
              </w:rPr>
              <w:t xml:space="preserve"> 762.9</w:t>
            </w:r>
          </w:p>
        </w:tc>
        <w:tc>
          <w:tcPr>
            <w:tcW w:w="905"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7"/>
                <w:szCs w:val="22"/>
                <w:lang w:eastAsia="en-AU"/>
              </w:rPr>
            </w:pPr>
            <w:r w:rsidRPr="006C00BC">
              <w:rPr>
                <w:rFonts w:eastAsiaTheme="minorEastAsia"/>
                <w:b/>
                <w:bCs/>
                <w:sz w:val="17"/>
                <w:szCs w:val="22"/>
                <w:lang w:eastAsia="en-AU"/>
              </w:rPr>
              <w:t>1 475.7</w:t>
            </w:r>
          </w:p>
        </w:tc>
        <w:tc>
          <w:tcPr>
            <w:tcW w:w="904"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7"/>
                <w:szCs w:val="22"/>
                <w:lang w:eastAsia="en-AU"/>
              </w:rPr>
            </w:pPr>
            <w:r w:rsidRPr="006C00BC">
              <w:rPr>
                <w:rFonts w:eastAsiaTheme="minorEastAsia"/>
                <w:b/>
                <w:bCs/>
                <w:sz w:val="17"/>
                <w:szCs w:val="22"/>
                <w:lang w:eastAsia="en-AU"/>
              </w:rPr>
              <w:t>2 628.2</w:t>
            </w:r>
          </w:p>
        </w:tc>
        <w:tc>
          <w:tcPr>
            <w:tcW w:w="905" w:type="dxa"/>
            <w:tcBorders>
              <w:top w:val="single" w:sz="6" w:space="0" w:color="auto"/>
              <w:left w:val="nil"/>
              <w:bottom w:val="single" w:sz="12" w:space="0" w:color="auto"/>
              <w:right w:val="nil"/>
            </w:tcBorders>
          </w:tcPr>
          <w:p w:rsidR="00F60B5F" w:rsidRPr="006C00BC" w:rsidRDefault="00F60B5F" w:rsidP="00820AF8">
            <w:pPr>
              <w:pStyle w:val="TableofFigures"/>
              <w:rPr>
                <w:rFonts w:eastAsiaTheme="minorEastAsia"/>
                <w:b/>
                <w:bCs/>
                <w:sz w:val="17"/>
                <w:szCs w:val="22"/>
                <w:lang w:eastAsia="en-AU"/>
              </w:rPr>
            </w:pPr>
            <w:r w:rsidRPr="006C00BC">
              <w:rPr>
                <w:rFonts w:eastAsiaTheme="minorEastAsia"/>
                <w:b/>
                <w:bCs/>
                <w:sz w:val="17"/>
                <w:szCs w:val="22"/>
                <w:lang w:eastAsia="en-AU"/>
              </w:rPr>
              <w:t>3 307.0</w:t>
            </w:r>
          </w:p>
        </w:tc>
      </w:tr>
    </w:tbl>
    <w:p w:rsidR="00F60B5F" w:rsidRDefault="00F60B5F" w:rsidP="00550D6F">
      <w:pPr>
        <w:pStyle w:val="Notes"/>
      </w:pPr>
      <w:r w:rsidRPr="00B56B1C">
        <w:t xml:space="preserve">The accompanying notes form part of these </w:t>
      </w:r>
      <w:r>
        <w:t>estimated financial statements.</w:t>
      </w:r>
    </w:p>
    <w:p w:rsidR="00F60B5F" w:rsidRPr="00550D6F" w:rsidRDefault="00F60B5F" w:rsidP="00550D6F">
      <w:pPr>
        <w:pStyle w:val="Notes"/>
      </w:pPr>
    </w:p>
    <w:p w:rsidR="00F60B5F" w:rsidRDefault="00F60B5F" w:rsidP="006C4B81">
      <w:r>
        <w:t xml:space="preserve">Since the </w:t>
      </w:r>
      <w:r w:rsidRPr="00820AF8">
        <w:rPr>
          <w:i/>
        </w:rPr>
        <w:t>2013</w:t>
      </w:r>
      <w:r>
        <w:rPr>
          <w:i/>
        </w:rPr>
        <w:noBreakHyphen/>
      </w:r>
      <w:r w:rsidRPr="00820AF8">
        <w:rPr>
          <w:i/>
        </w:rPr>
        <w:t>14 Budget</w:t>
      </w:r>
      <w:r>
        <w:t xml:space="preserve">, the Government has introduced the ‘government fiscal result’ to ensure consistent, comprehensive and informed assessments can continue to be made of the State’s financial performance in light of the substantial change and volatility introduced by the revised Australian Accounting Standard AASB 119 </w:t>
      </w:r>
      <w:r w:rsidRPr="00820AF8">
        <w:rPr>
          <w:i/>
        </w:rPr>
        <w:t>Employee Benefits</w:t>
      </w:r>
      <w:r>
        <w:t xml:space="preserve"> in reporting the State’s defined benefit superannuation interest expense.</w:t>
      </w:r>
    </w:p>
    <w:p w:rsidR="00F60B5F" w:rsidRDefault="00F60B5F" w:rsidP="006C4B81">
      <w:r>
        <w:t>The government fiscal result is comparable to the ‘net result from transactions – net operating balance’ published in previous budgets, to which previous budget settings and estimated outcomes were based.</w:t>
      </w:r>
    </w:p>
    <w:p w:rsidR="00F60B5F" w:rsidRDefault="00F60B5F" w:rsidP="006C4B81">
      <w:r>
        <w:t>The government fiscal result complements Victoria’s reported net operating balance, providing another analytical measure of the State’s operating performance. Compared with the net operating balance, the government fiscal result also takes into account the full impact of the expected return of the superannuation plan assets dedicated to fund and support the costs associated with servicing the Government’s defined superannuation obligations.</w:t>
      </w:r>
    </w:p>
    <w:p w:rsidR="00F60B5F" w:rsidRPr="00B56B1C" w:rsidRDefault="00F60B5F" w:rsidP="000223B9">
      <w:pPr>
        <w:pStyle w:val="Tableheading"/>
      </w:pPr>
      <w:r w:rsidRPr="00B56B1C">
        <w:t>Table 5.3:</w:t>
      </w:r>
      <w:r w:rsidRPr="00B56B1C">
        <w:tab/>
        <w:t>Estimated consolidated balance sheet as at 30 June</w:t>
      </w:r>
    </w:p>
    <w:p w:rsidR="00F60B5F" w:rsidRPr="00D6736D" w:rsidRDefault="00F60B5F" w:rsidP="00D6736D">
      <w:pPr>
        <w:pStyle w:val="million"/>
      </w:pPr>
      <w:r w:rsidRPr="00B56B1C">
        <w:t>($</w:t>
      </w:r>
      <w:r>
        <w:t> million</w:t>
      </w:r>
      <w:r w:rsidRPr="00B56B1C">
        <w:t>)</w:t>
      </w:r>
    </w:p>
    <w:tbl>
      <w:tblPr>
        <w:tblW w:w="7777" w:type="dxa"/>
        <w:tblInd w:w="28" w:type="dxa"/>
        <w:tblLayout w:type="fixed"/>
        <w:tblCellMar>
          <w:left w:w="45" w:type="dxa"/>
          <w:right w:w="45" w:type="dxa"/>
        </w:tblCellMar>
        <w:tblLook w:val="0000" w:firstRow="0" w:lastRow="0" w:firstColumn="0" w:lastColumn="0" w:noHBand="0" w:noVBand="0"/>
      </w:tblPr>
      <w:tblGrid>
        <w:gridCol w:w="2717"/>
        <w:gridCol w:w="630"/>
        <w:gridCol w:w="886"/>
        <w:gridCol w:w="886"/>
        <w:gridCol w:w="886"/>
        <w:gridCol w:w="886"/>
        <w:gridCol w:w="886"/>
      </w:tblGrid>
      <w:tr w:rsidR="00F60B5F" w:rsidRPr="00D6736D" w:rsidTr="00D6736D">
        <w:tc>
          <w:tcPr>
            <w:tcW w:w="2717" w:type="dxa"/>
            <w:tcBorders>
              <w:top w:val="single" w:sz="6" w:space="0" w:color="000000"/>
              <w:left w:val="single" w:sz="6" w:space="0" w:color="000000"/>
              <w:bottom w:val="nil"/>
              <w:right w:val="nil"/>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 xml:space="preserve"> </w:t>
            </w:r>
          </w:p>
        </w:tc>
        <w:tc>
          <w:tcPr>
            <w:tcW w:w="630" w:type="dxa"/>
            <w:tcBorders>
              <w:top w:val="single" w:sz="6" w:space="0" w:color="000000"/>
              <w:left w:val="nil"/>
              <w:bottom w:val="nil"/>
              <w:right w:val="nil"/>
            </w:tcBorders>
            <w:shd w:val="clear" w:color="000000" w:fill="000000"/>
          </w:tcPr>
          <w:p w:rsidR="00F60B5F" w:rsidRPr="00D6736D" w:rsidRDefault="00F60B5F" w:rsidP="00D6736D">
            <w:pPr>
              <w:pStyle w:val="Tabletextheading"/>
              <w:rPr>
                <w:rFonts w:eastAsiaTheme="minorEastAsia"/>
                <w:szCs w:val="19"/>
                <w:lang w:eastAsia="en-AU"/>
              </w:rPr>
            </w:pPr>
            <w:r w:rsidRPr="00D6736D">
              <w:rPr>
                <w:rFonts w:eastAsiaTheme="minorEastAsia"/>
                <w:szCs w:val="19"/>
                <w:lang w:eastAsia="en-AU"/>
              </w:rPr>
              <w:t xml:space="preserve"> </w:t>
            </w:r>
          </w:p>
        </w:tc>
        <w:tc>
          <w:tcPr>
            <w:tcW w:w="886" w:type="dxa"/>
            <w:tcBorders>
              <w:top w:val="single" w:sz="6" w:space="0" w:color="000000"/>
              <w:left w:val="nil"/>
              <w:bottom w:val="nil"/>
              <w:right w:val="nil"/>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2013</w:t>
            </w:r>
            <w:r>
              <w:rPr>
                <w:rFonts w:eastAsiaTheme="minorEastAsia"/>
                <w:lang w:eastAsia="en-AU"/>
              </w:rPr>
              <w:noBreakHyphen/>
            </w:r>
            <w:r w:rsidRPr="00D6736D">
              <w:rPr>
                <w:rFonts w:eastAsiaTheme="minorEastAsia"/>
                <w:lang w:eastAsia="en-AU"/>
              </w:rPr>
              <w:t>14</w:t>
            </w:r>
          </w:p>
        </w:tc>
        <w:tc>
          <w:tcPr>
            <w:tcW w:w="886" w:type="dxa"/>
            <w:tcBorders>
              <w:top w:val="single" w:sz="6" w:space="0" w:color="000000"/>
              <w:left w:val="nil"/>
              <w:bottom w:val="nil"/>
              <w:right w:val="nil"/>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2013</w:t>
            </w:r>
            <w:r>
              <w:rPr>
                <w:rFonts w:eastAsiaTheme="minorEastAsia"/>
                <w:lang w:eastAsia="en-AU"/>
              </w:rPr>
              <w:noBreakHyphen/>
            </w:r>
            <w:r w:rsidRPr="00D6736D">
              <w:rPr>
                <w:rFonts w:eastAsiaTheme="minorEastAsia"/>
                <w:lang w:eastAsia="en-AU"/>
              </w:rPr>
              <w:t>14</w:t>
            </w:r>
          </w:p>
        </w:tc>
        <w:tc>
          <w:tcPr>
            <w:tcW w:w="886" w:type="dxa"/>
            <w:tcBorders>
              <w:top w:val="single" w:sz="6" w:space="0" w:color="000000"/>
              <w:left w:val="nil"/>
              <w:bottom w:val="nil"/>
              <w:right w:val="nil"/>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2014</w:t>
            </w:r>
            <w:r>
              <w:rPr>
                <w:rFonts w:eastAsiaTheme="minorEastAsia"/>
                <w:lang w:eastAsia="en-AU"/>
              </w:rPr>
              <w:noBreakHyphen/>
            </w:r>
            <w:r w:rsidRPr="00D6736D">
              <w:rPr>
                <w:rFonts w:eastAsiaTheme="minorEastAsia"/>
                <w:lang w:eastAsia="en-AU"/>
              </w:rPr>
              <w:t>15</w:t>
            </w:r>
          </w:p>
        </w:tc>
        <w:tc>
          <w:tcPr>
            <w:tcW w:w="886" w:type="dxa"/>
            <w:tcBorders>
              <w:top w:val="single" w:sz="6" w:space="0" w:color="000000"/>
              <w:left w:val="nil"/>
              <w:bottom w:val="nil"/>
              <w:right w:val="nil"/>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2015</w:t>
            </w:r>
            <w:r>
              <w:rPr>
                <w:rFonts w:eastAsiaTheme="minorEastAsia"/>
                <w:lang w:eastAsia="en-AU"/>
              </w:rPr>
              <w:noBreakHyphen/>
            </w:r>
            <w:r w:rsidRPr="00D6736D">
              <w:rPr>
                <w:rFonts w:eastAsiaTheme="minorEastAsia"/>
                <w:lang w:eastAsia="en-AU"/>
              </w:rPr>
              <w:t>16</w:t>
            </w:r>
          </w:p>
        </w:tc>
        <w:tc>
          <w:tcPr>
            <w:tcW w:w="886" w:type="dxa"/>
            <w:tcBorders>
              <w:top w:val="single" w:sz="6" w:space="0" w:color="000000"/>
              <w:left w:val="nil"/>
              <w:bottom w:val="nil"/>
              <w:right w:val="single" w:sz="6" w:space="0" w:color="000000"/>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2016</w:t>
            </w:r>
            <w:r>
              <w:rPr>
                <w:rFonts w:eastAsiaTheme="minorEastAsia"/>
                <w:lang w:eastAsia="en-AU"/>
              </w:rPr>
              <w:noBreakHyphen/>
            </w:r>
            <w:r w:rsidRPr="00D6736D">
              <w:rPr>
                <w:rFonts w:eastAsiaTheme="minorEastAsia"/>
                <w:lang w:eastAsia="en-AU"/>
              </w:rPr>
              <w:t>17</w:t>
            </w:r>
          </w:p>
        </w:tc>
      </w:tr>
      <w:tr w:rsidR="00F60B5F" w:rsidRPr="00D6736D" w:rsidTr="00D6736D">
        <w:tc>
          <w:tcPr>
            <w:tcW w:w="2717" w:type="dxa"/>
            <w:tcBorders>
              <w:top w:val="nil"/>
              <w:left w:val="single" w:sz="6" w:space="0" w:color="000000"/>
              <w:bottom w:val="single" w:sz="6" w:space="0" w:color="000000"/>
              <w:right w:val="nil"/>
            </w:tcBorders>
            <w:shd w:val="clear" w:color="000000" w:fill="000000"/>
          </w:tcPr>
          <w:p w:rsidR="00F60B5F" w:rsidRPr="00D6736D" w:rsidRDefault="00F60B5F" w:rsidP="00D6736D">
            <w:pPr>
              <w:pStyle w:val="Tabletextheading"/>
              <w:rPr>
                <w:rFonts w:eastAsiaTheme="minorEastAsia"/>
                <w:b/>
                <w:bCs/>
                <w:lang w:eastAsia="en-AU"/>
              </w:rPr>
            </w:pPr>
            <w:r w:rsidRPr="00D6736D">
              <w:rPr>
                <w:rFonts w:eastAsiaTheme="minorEastAsia"/>
                <w:b/>
                <w:bCs/>
                <w:lang w:eastAsia="en-AU"/>
              </w:rPr>
              <w:t xml:space="preserve"> </w:t>
            </w:r>
          </w:p>
        </w:tc>
        <w:tc>
          <w:tcPr>
            <w:tcW w:w="630" w:type="dxa"/>
            <w:tcBorders>
              <w:top w:val="nil"/>
              <w:left w:val="nil"/>
              <w:bottom w:val="single" w:sz="6" w:space="0" w:color="000000"/>
              <w:right w:val="nil"/>
            </w:tcBorders>
            <w:shd w:val="clear" w:color="000000" w:fill="000000"/>
          </w:tcPr>
          <w:p w:rsidR="00F60B5F" w:rsidRPr="00D6736D" w:rsidRDefault="00F60B5F" w:rsidP="00D6736D">
            <w:pPr>
              <w:pStyle w:val="Tabletextheading"/>
              <w:rPr>
                <w:rFonts w:eastAsiaTheme="minorEastAsia"/>
                <w:szCs w:val="19"/>
                <w:lang w:eastAsia="en-AU"/>
              </w:rPr>
            </w:pPr>
            <w:r w:rsidRPr="00D6736D">
              <w:rPr>
                <w:rFonts w:eastAsiaTheme="minorEastAsia"/>
                <w:szCs w:val="19"/>
                <w:lang w:eastAsia="en-AU"/>
              </w:rPr>
              <w:t>Notes</w:t>
            </w:r>
          </w:p>
        </w:tc>
        <w:tc>
          <w:tcPr>
            <w:tcW w:w="886" w:type="dxa"/>
            <w:tcBorders>
              <w:top w:val="nil"/>
              <w:left w:val="nil"/>
              <w:bottom w:val="single" w:sz="6" w:space="0" w:color="000000"/>
              <w:right w:val="nil"/>
            </w:tcBorders>
            <w:shd w:val="clear" w:color="000000" w:fill="000000"/>
          </w:tcPr>
          <w:p w:rsidR="00F60B5F" w:rsidRPr="00D6736D" w:rsidRDefault="00F60B5F" w:rsidP="00D6736D">
            <w:pPr>
              <w:pStyle w:val="Tabletextheading"/>
              <w:rPr>
                <w:rFonts w:eastAsiaTheme="minorEastAsia"/>
                <w:vertAlign w:val="superscript"/>
                <w:lang w:eastAsia="en-AU"/>
              </w:rPr>
            </w:pPr>
            <w:r w:rsidRPr="00D6736D">
              <w:rPr>
                <w:rFonts w:eastAsiaTheme="minorEastAsia"/>
                <w:lang w:eastAsia="en-AU"/>
              </w:rPr>
              <w:t xml:space="preserve">Budget </w:t>
            </w:r>
            <w:r w:rsidRPr="00D6736D">
              <w:rPr>
                <w:rFonts w:eastAsiaTheme="minorEastAsia"/>
                <w:vertAlign w:val="superscript"/>
                <w:lang w:eastAsia="en-AU"/>
              </w:rPr>
              <w:t>(a)</w:t>
            </w:r>
          </w:p>
        </w:tc>
        <w:tc>
          <w:tcPr>
            <w:tcW w:w="886" w:type="dxa"/>
            <w:tcBorders>
              <w:top w:val="nil"/>
              <w:left w:val="nil"/>
              <w:bottom w:val="single" w:sz="6" w:space="0" w:color="000000"/>
              <w:right w:val="nil"/>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Revised</w:t>
            </w:r>
          </w:p>
        </w:tc>
        <w:tc>
          <w:tcPr>
            <w:tcW w:w="886" w:type="dxa"/>
            <w:tcBorders>
              <w:top w:val="nil"/>
              <w:left w:val="nil"/>
              <w:bottom w:val="single" w:sz="6" w:space="0" w:color="000000"/>
              <w:right w:val="nil"/>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Estimate</w:t>
            </w:r>
          </w:p>
        </w:tc>
        <w:tc>
          <w:tcPr>
            <w:tcW w:w="886" w:type="dxa"/>
            <w:tcBorders>
              <w:top w:val="nil"/>
              <w:left w:val="nil"/>
              <w:bottom w:val="single" w:sz="6" w:space="0" w:color="000000"/>
              <w:right w:val="nil"/>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Estimate</w:t>
            </w:r>
          </w:p>
        </w:tc>
        <w:tc>
          <w:tcPr>
            <w:tcW w:w="886" w:type="dxa"/>
            <w:tcBorders>
              <w:top w:val="nil"/>
              <w:left w:val="nil"/>
              <w:bottom w:val="single" w:sz="6" w:space="0" w:color="000000"/>
              <w:right w:val="single" w:sz="6" w:space="0" w:color="000000"/>
            </w:tcBorders>
            <w:shd w:val="clear" w:color="000000" w:fill="000000"/>
          </w:tcPr>
          <w:p w:rsidR="00F60B5F" w:rsidRPr="00D6736D" w:rsidRDefault="00F60B5F" w:rsidP="00D6736D">
            <w:pPr>
              <w:pStyle w:val="Tabletextheading"/>
              <w:rPr>
                <w:rFonts w:eastAsiaTheme="minorEastAsia"/>
                <w:lang w:eastAsia="en-AU"/>
              </w:rPr>
            </w:pPr>
            <w:r w:rsidRPr="00D6736D">
              <w:rPr>
                <w:rFonts w:eastAsiaTheme="minorEastAsia"/>
                <w:lang w:eastAsia="en-AU"/>
              </w:rPr>
              <w:t>Estimate</w:t>
            </w:r>
          </w:p>
        </w:tc>
      </w:tr>
      <w:tr w:rsidR="00F60B5F" w:rsidRPr="00D6736D" w:rsidTr="00D6736D">
        <w:tc>
          <w:tcPr>
            <w:tcW w:w="2717" w:type="dxa"/>
            <w:tcBorders>
              <w:top w:val="single" w:sz="6" w:space="0" w:color="000000"/>
              <w:left w:val="nil"/>
              <w:bottom w:val="nil"/>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Assets</w:t>
            </w:r>
          </w:p>
        </w:tc>
        <w:tc>
          <w:tcPr>
            <w:tcW w:w="630" w:type="dxa"/>
            <w:tcBorders>
              <w:top w:val="single" w:sz="6" w:space="0" w:color="000000"/>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single" w:sz="6" w:space="0" w:color="000000"/>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c>
          <w:tcPr>
            <w:tcW w:w="886" w:type="dxa"/>
            <w:tcBorders>
              <w:top w:val="single" w:sz="6" w:space="0" w:color="000000"/>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c>
          <w:tcPr>
            <w:tcW w:w="886" w:type="dxa"/>
            <w:tcBorders>
              <w:top w:val="single" w:sz="6" w:space="0" w:color="000000"/>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c>
          <w:tcPr>
            <w:tcW w:w="886" w:type="dxa"/>
            <w:tcBorders>
              <w:top w:val="single" w:sz="6" w:space="0" w:color="000000"/>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c>
          <w:tcPr>
            <w:tcW w:w="886" w:type="dxa"/>
            <w:tcBorders>
              <w:top w:val="single" w:sz="6" w:space="0" w:color="000000"/>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Financial assets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Cash and deposits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4 150.2</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3 998.9</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4 206.9</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4 532.0</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4 890.7</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Advances paid</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16</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4 584.6</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4 590.3</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4 541.1</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4 484.8</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4 456.8</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 xml:space="preserve">Receivables </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4 885.5</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5 003.9</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4 949.5</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4 823.4</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4 849.9</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Investments, loans and placements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16</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3 467.4</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3 407.4</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3 492.6</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3 589.0</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3 678.9</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Investments accounted for using equity method</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49.4</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49.4</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49.4</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49.4</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49.4</w:t>
            </w:r>
          </w:p>
        </w:tc>
      </w:tr>
      <w:tr w:rsidR="00F60B5F" w:rsidRPr="00D6736D" w:rsidTr="00D6736D">
        <w:tc>
          <w:tcPr>
            <w:tcW w:w="2717" w:type="dxa"/>
            <w:tcBorders>
              <w:top w:val="nil"/>
              <w:left w:val="nil"/>
              <w:bottom w:val="single" w:sz="6" w:space="0" w:color="auto"/>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Investments in other sector entities</w:t>
            </w:r>
          </w:p>
        </w:tc>
        <w:tc>
          <w:tcPr>
            <w:tcW w:w="630" w:type="dxa"/>
            <w:tcBorders>
              <w:top w:val="nil"/>
              <w:left w:val="nil"/>
              <w:bottom w:val="single" w:sz="6" w:space="0" w:color="auto"/>
              <w:right w:val="nil"/>
            </w:tcBorders>
          </w:tcPr>
          <w:p w:rsidR="00F60B5F" w:rsidRPr="00D6736D" w:rsidRDefault="00F60B5F" w:rsidP="00D6736D">
            <w:pPr>
              <w:pStyle w:val="TableTextCentred0"/>
              <w:rPr>
                <w:sz w:val="19"/>
              </w:rPr>
            </w:pPr>
            <w:r w:rsidRPr="00D6736D">
              <w:rPr>
                <w:sz w:val="19"/>
              </w:rPr>
              <w:t>14</w:t>
            </w:r>
          </w:p>
        </w:tc>
        <w:tc>
          <w:tcPr>
            <w:tcW w:w="886" w:type="dxa"/>
            <w:tcBorders>
              <w:top w:val="nil"/>
              <w:left w:val="nil"/>
              <w:bottom w:val="single" w:sz="6" w:space="0" w:color="auto"/>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73 328.9</w:t>
            </w:r>
          </w:p>
        </w:tc>
        <w:tc>
          <w:tcPr>
            <w:tcW w:w="886" w:type="dxa"/>
            <w:tcBorders>
              <w:top w:val="nil"/>
              <w:left w:val="nil"/>
              <w:bottom w:val="single" w:sz="6" w:space="0" w:color="auto"/>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73 534.2</w:t>
            </w:r>
          </w:p>
        </w:tc>
        <w:tc>
          <w:tcPr>
            <w:tcW w:w="886" w:type="dxa"/>
            <w:tcBorders>
              <w:top w:val="nil"/>
              <w:left w:val="nil"/>
              <w:bottom w:val="single" w:sz="6" w:space="0" w:color="auto"/>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78 531.4</w:t>
            </w:r>
          </w:p>
        </w:tc>
        <w:tc>
          <w:tcPr>
            <w:tcW w:w="886" w:type="dxa"/>
            <w:tcBorders>
              <w:top w:val="nil"/>
              <w:left w:val="nil"/>
              <w:bottom w:val="single" w:sz="6" w:space="0" w:color="auto"/>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80 186.8</w:t>
            </w:r>
          </w:p>
        </w:tc>
        <w:tc>
          <w:tcPr>
            <w:tcW w:w="886" w:type="dxa"/>
            <w:tcBorders>
              <w:top w:val="nil"/>
              <w:left w:val="nil"/>
              <w:bottom w:val="single" w:sz="6" w:space="0" w:color="auto"/>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80 124.4</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Total financial assets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90 466.1</w:t>
            </w:r>
          </w:p>
        </w:tc>
        <w:tc>
          <w:tcPr>
            <w:tcW w:w="886" w:type="dxa"/>
            <w:tcBorders>
              <w:top w:val="nil"/>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90 584.2</w:t>
            </w:r>
          </w:p>
        </w:tc>
        <w:tc>
          <w:tcPr>
            <w:tcW w:w="886" w:type="dxa"/>
            <w:tcBorders>
              <w:top w:val="nil"/>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95 771.0</w:t>
            </w:r>
          </w:p>
        </w:tc>
        <w:tc>
          <w:tcPr>
            <w:tcW w:w="886" w:type="dxa"/>
            <w:tcBorders>
              <w:top w:val="nil"/>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97 665.4</w:t>
            </w:r>
          </w:p>
        </w:tc>
        <w:tc>
          <w:tcPr>
            <w:tcW w:w="886" w:type="dxa"/>
            <w:tcBorders>
              <w:top w:val="nil"/>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98 050.0</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Non</w:t>
            </w:r>
            <w:r>
              <w:rPr>
                <w:rFonts w:eastAsiaTheme="minorEastAsia"/>
                <w:b/>
                <w:bCs/>
                <w:sz w:val="19"/>
                <w:lang w:eastAsia="en-AU"/>
              </w:rPr>
              <w:noBreakHyphen/>
            </w:r>
            <w:r w:rsidRPr="00D6736D">
              <w:rPr>
                <w:rFonts w:eastAsiaTheme="minorEastAsia"/>
                <w:b/>
                <w:bCs/>
                <w:sz w:val="19"/>
                <w:lang w:eastAsia="en-AU"/>
              </w:rPr>
              <w:t>financial assets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shd w:val="solid" w:color="FFFFFF" w:fill="auto"/>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shd w:val="solid" w:color="FFFFFF" w:fill="auto"/>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shd w:val="solid" w:color="FFFFFF" w:fill="auto"/>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shd w:val="solid" w:color="FFFFFF" w:fill="auto"/>
          </w:tcPr>
          <w:p w:rsidR="00F60B5F" w:rsidRPr="00D6736D" w:rsidRDefault="00F60B5F" w:rsidP="00D6736D">
            <w:pPr>
              <w:pStyle w:val="TableofFigures"/>
              <w:rPr>
                <w:rFonts w:eastAsiaTheme="minorEastAsia"/>
                <w:sz w:val="19"/>
                <w:lang w:eastAsia="en-AU"/>
              </w:rPr>
            </w:pP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Inventories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192.6</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194.0</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198.4</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203.0</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207.5</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cs="Calibri"/>
                <w:lang w:eastAsia="en-AU"/>
              </w:rPr>
            </w:pPr>
            <w:r w:rsidRPr="00D6736D">
              <w:rPr>
                <w:rFonts w:eastAsiaTheme="minorEastAsia"/>
                <w:sz w:val="19"/>
                <w:lang w:eastAsia="en-AU"/>
              </w:rPr>
              <w:t>Non</w:t>
            </w:r>
            <w:r>
              <w:rPr>
                <w:rFonts w:eastAsiaTheme="minorEastAsia"/>
                <w:sz w:val="19"/>
                <w:lang w:eastAsia="en-AU"/>
              </w:rPr>
              <w:noBreakHyphen/>
            </w:r>
            <w:r w:rsidRPr="00D6736D">
              <w:rPr>
                <w:rFonts w:eastAsiaTheme="minorEastAsia"/>
                <w:sz w:val="19"/>
                <w:lang w:eastAsia="en-AU"/>
              </w:rPr>
              <w:t xml:space="preserve">financial </w:t>
            </w:r>
            <w:r w:rsidRPr="00D6736D">
              <w:rPr>
                <w:rFonts w:eastAsiaTheme="minorEastAsia" w:cs="Calibri"/>
                <w:lang w:eastAsia="en-AU"/>
              </w:rPr>
              <w:t>assets held for sale</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135.5</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107.2</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100.6</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93.9</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87.3</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cs="Calibri"/>
                <w:lang w:eastAsia="en-AU"/>
              </w:rPr>
            </w:pPr>
            <w:r w:rsidRPr="00D6736D">
              <w:rPr>
                <w:rFonts w:eastAsiaTheme="minorEastAsia"/>
                <w:sz w:val="19"/>
                <w:lang w:eastAsia="en-AU"/>
              </w:rPr>
              <w:t>Land, buildings, infrastructure, plant</w:t>
            </w:r>
            <w:r w:rsidRPr="00D6736D">
              <w:rPr>
                <w:rFonts w:eastAsiaTheme="minorEastAsia" w:cs="Calibri"/>
                <w:lang w:eastAsia="en-AU"/>
              </w:rPr>
              <w:t xml:space="preserve"> and equipment</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17, 18</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106 072.7</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102 484.4</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106 007.9</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107 639.3</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110 672.0</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Other non</w:t>
            </w:r>
            <w:r>
              <w:rPr>
                <w:rFonts w:eastAsiaTheme="minorEastAsia"/>
                <w:sz w:val="19"/>
                <w:lang w:eastAsia="en-AU"/>
              </w:rPr>
              <w:noBreakHyphen/>
            </w:r>
            <w:r w:rsidRPr="00D6736D">
              <w:rPr>
                <w:rFonts w:eastAsiaTheme="minorEastAsia"/>
                <w:sz w:val="19"/>
                <w:lang w:eastAsia="en-AU"/>
              </w:rPr>
              <w:t>financial assets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918.7</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951.2</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906.7</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839.6</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812.6</w:t>
            </w:r>
          </w:p>
        </w:tc>
      </w:tr>
      <w:tr w:rsidR="00F60B5F" w:rsidRPr="00D6736D" w:rsidTr="00D6736D">
        <w:tc>
          <w:tcPr>
            <w:tcW w:w="2717" w:type="dxa"/>
            <w:tcBorders>
              <w:top w:val="single" w:sz="6" w:space="0" w:color="auto"/>
              <w:left w:val="nil"/>
              <w:bottom w:val="single" w:sz="6" w:space="0" w:color="auto"/>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Total non</w:t>
            </w:r>
            <w:r>
              <w:rPr>
                <w:rFonts w:eastAsiaTheme="minorEastAsia"/>
                <w:b/>
                <w:bCs/>
                <w:sz w:val="19"/>
                <w:lang w:eastAsia="en-AU"/>
              </w:rPr>
              <w:noBreakHyphen/>
            </w:r>
            <w:r w:rsidRPr="00D6736D">
              <w:rPr>
                <w:rFonts w:eastAsiaTheme="minorEastAsia"/>
                <w:b/>
                <w:bCs/>
                <w:sz w:val="19"/>
                <w:lang w:eastAsia="en-AU"/>
              </w:rPr>
              <w:t>financial assets</w:t>
            </w:r>
          </w:p>
        </w:tc>
        <w:tc>
          <w:tcPr>
            <w:tcW w:w="630" w:type="dxa"/>
            <w:tcBorders>
              <w:top w:val="single" w:sz="6" w:space="0" w:color="auto"/>
              <w:left w:val="nil"/>
              <w:bottom w:val="single" w:sz="6" w:space="0" w:color="auto"/>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cs="Calibri"/>
                <w:b/>
                <w:bCs/>
                <w:szCs w:val="22"/>
                <w:lang w:eastAsia="en-AU"/>
              </w:rPr>
            </w:pPr>
            <w:r w:rsidRPr="00D6736D">
              <w:rPr>
                <w:rFonts w:eastAsiaTheme="minorEastAsia"/>
                <w:b/>
                <w:bCs/>
                <w:sz w:val="19"/>
                <w:lang w:eastAsia="en-AU"/>
              </w:rPr>
              <w:t>107 319.5</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cs="Calibri"/>
                <w:b/>
                <w:bCs/>
                <w:szCs w:val="22"/>
                <w:lang w:eastAsia="en-AU"/>
              </w:rPr>
            </w:pPr>
            <w:r w:rsidRPr="00D6736D">
              <w:rPr>
                <w:rFonts w:eastAsiaTheme="minorEastAsia"/>
                <w:b/>
                <w:bCs/>
                <w:sz w:val="19"/>
                <w:lang w:eastAsia="en-AU"/>
              </w:rPr>
              <w:t>103 736.8</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cs="Calibri"/>
                <w:b/>
                <w:bCs/>
                <w:szCs w:val="22"/>
                <w:lang w:eastAsia="en-AU"/>
              </w:rPr>
            </w:pPr>
            <w:r w:rsidRPr="00D6736D">
              <w:rPr>
                <w:rFonts w:eastAsiaTheme="minorEastAsia"/>
                <w:b/>
                <w:bCs/>
                <w:sz w:val="19"/>
                <w:lang w:eastAsia="en-AU"/>
              </w:rPr>
              <w:t>107 213.6</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cs="Calibri"/>
                <w:b/>
                <w:bCs/>
                <w:szCs w:val="22"/>
                <w:lang w:eastAsia="en-AU"/>
              </w:rPr>
            </w:pPr>
            <w:r w:rsidRPr="00D6736D">
              <w:rPr>
                <w:rFonts w:eastAsiaTheme="minorEastAsia"/>
                <w:b/>
                <w:bCs/>
                <w:sz w:val="19"/>
                <w:lang w:eastAsia="en-AU"/>
              </w:rPr>
              <w:t>108 775.7</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cs="Calibri"/>
                <w:b/>
                <w:bCs/>
                <w:szCs w:val="22"/>
                <w:lang w:eastAsia="en-AU"/>
              </w:rPr>
            </w:pPr>
            <w:r w:rsidRPr="00D6736D">
              <w:rPr>
                <w:rFonts w:eastAsiaTheme="minorEastAsia"/>
                <w:b/>
                <w:bCs/>
                <w:sz w:val="19"/>
                <w:lang w:eastAsia="en-AU"/>
              </w:rPr>
              <w:t>111 779.4</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Total assets</w:t>
            </w:r>
          </w:p>
        </w:tc>
        <w:tc>
          <w:tcPr>
            <w:tcW w:w="630" w:type="dxa"/>
            <w:tcBorders>
              <w:top w:val="single" w:sz="6" w:space="0" w:color="auto"/>
              <w:left w:val="nil"/>
              <w:bottom w:val="nil"/>
              <w:right w:val="nil"/>
            </w:tcBorders>
          </w:tcPr>
          <w:p w:rsidR="00F60B5F" w:rsidRPr="00D6736D" w:rsidRDefault="00F60B5F" w:rsidP="00D6736D">
            <w:pPr>
              <w:pStyle w:val="TableTextCentred0"/>
              <w:rPr>
                <w:sz w:val="19"/>
              </w:rPr>
            </w:pPr>
            <w:r w:rsidRPr="00D6736D">
              <w:rPr>
                <w:sz w:val="19"/>
              </w:rPr>
              <w:t>19(c)</w:t>
            </w:r>
          </w:p>
        </w:tc>
        <w:tc>
          <w:tcPr>
            <w:tcW w:w="886" w:type="dxa"/>
            <w:tcBorders>
              <w:top w:val="single" w:sz="6" w:space="0" w:color="auto"/>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197 785.5</w:t>
            </w:r>
          </w:p>
        </w:tc>
        <w:tc>
          <w:tcPr>
            <w:tcW w:w="886" w:type="dxa"/>
            <w:tcBorders>
              <w:top w:val="single" w:sz="6" w:space="0" w:color="auto"/>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194 321.0</w:t>
            </w:r>
          </w:p>
        </w:tc>
        <w:tc>
          <w:tcPr>
            <w:tcW w:w="886" w:type="dxa"/>
            <w:tcBorders>
              <w:top w:val="single" w:sz="6" w:space="0" w:color="auto"/>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202 984.6</w:t>
            </w:r>
          </w:p>
        </w:tc>
        <w:tc>
          <w:tcPr>
            <w:tcW w:w="886" w:type="dxa"/>
            <w:tcBorders>
              <w:top w:val="single" w:sz="6" w:space="0" w:color="auto"/>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206 441.2</w:t>
            </w:r>
          </w:p>
        </w:tc>
        <w:tc>
          <w:tcPr>
            <w:tcW w:w="886" w:type="dxa"/>
            <w:tcBorders>
              <w:top w:val="single" w:sz="6" w:space="0" w:color="auto"/>
              <w:left w:val="nil"/>
              <w:bottom w:val="nil"/>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209 829.4</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Liabilities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cs="Calibri"/>
                <w:lang w:eastAsia="en-AU"/>
              </w:rPr>
            </w:pPr>
            <w:r w:rsidRPr="00D6736D">
              <w:rPr>
                <w:rFonts w:eastAsiaTheme="minorEastAsia"/>
                <w:sz w:val="19"/>
                <w:lang w:eastAsia="en-AU"/>
              </w:rPr>
              <w:t xml:space="preserve">Deposits </w:t>
            </w:r>
            <w:r w:rsidRPr="00D6736D">
              <w:rPr>
                <w:rFonts w:eastAsiaTheme="minorEastAsia" w:cs="Calibri"/>
                <w:lang w:eastAsia="en-AU"/>
              </w:rPr>
              <w:t>held and advances received</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455.9</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448.9</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448.9</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448.9</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 xml:space="preserve"> </w:t>
            </w:r>
            <w:r w:rsidRPr="00D6736D">
              <w:rPr>
                <w:rFonts w:eastAsiaTheme="minorEastAsia" w:cs="Calibri"/>
                <w:szCs w:val="22"/>
                <w:lang w:eastAsia="en-AU"/>
              </w:rPr>
              <w:t>448.9</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Payables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5 670.2</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5 678.2</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5 137.0</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4 853.5</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4 621.7</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Borrowings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20</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34 711.3</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34 250.7</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36 573.9</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36 050.0</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35 371.2</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Employee benefits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21</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5 401.6</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5 390.9</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5 592.5</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5 805.4</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6 027.0</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Superannuation</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7(d)</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24 932.5</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23 568.0</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23 196.5</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22 792.0</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22 218.0</w:t>
            </w:r>
          </w:p>
        </w:tc>
      </w:tr>
      <w:tr w:rsidR="00F60B5F" w:rsidRPr="00D6736D" w:rsidTr="00D6736D">
        <w:tc>
          <w:tcPr>
            <w:tcW w:w="2717" w:type="dxa"/>
            <w:tcBorders>
              <w:top w:val="nil"/>
              <w:left w:val="nil"/>
              <w:bottom w:val="single" w:sz="6" w:space="0" w:color="auto"/>
              <w:right w:val="nil"/>
            </w:tcBorders>
          </w:tcPr>
          <w:p w:rsidR="00F60B5F" w:rsidRPr="00D6736D" w:rsidRDefault="00F60B5F" w:rsidP="00D6736D">
            <w:pPr>
              <w:pStyle w:val="Tabletext"/>
              <w:rPr>
                <w:rFonts w:eastAsiaTheme="minorEastAsia" w:cs="Calibri"/>
                <w:lang w:eastAsia="en-AU"/>
              </w:rPr>
            </w:pPr>
            <w:r w:rsidRPr="00D6736D">
              <w:rPr>
                <w:rFonts w:eastAsiaTheme="minorEastAsia"/>
                <w:sz w:val="19"/>
                <w:lang w:eastAsia="en-AU"/>
              </w:rPr>
              <w:t xml:space="preserve">Other </w:t>
            </w:r>
            <w:r w:rsidRPr="00D6736D">
              <w:rPr>
                <w:rFonts w:eastAsiaTheme="minorEastAsia" w:cs="Calibri"/>
                <w:lang w:eastAsia="en-AU"/>
              </w:rPr>
              <w:t>provisions</w:t>
            </w:r>
          </w:p>
        </w:tc>
        <w:tc>
          <w:tcPr>
            <w:tcW w:w="630" w:type="dxa"/>
            <w:tcBorders>
              <w:top w:val="nil"/>
              <w:left w:val="nil"/>
              <w:bottom w:val="single" w:sz="6" w:space="0" w:color="auto"/>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622.9</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628.3</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655.1</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684.9</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716.0</w:t>
            </w:r>
          </w:p>
        </w:tc>
      </w:tr>
      <w:tr w:rsidR="00F60B5F" w:rsidRPr="00D6736D" w:rsidTr="00D6736D">
        <w:tc>
          <w:tcPr>
            <w:tcW w:w="2717" w:type="dxa"/>
            <w:tcBorders>
              <w:top w:val="single" w:sz="6" w:space="0" w:color="auto"/>
              <w:left w:val="nil"/>
              <w:bottom w:val="single" w:sz="6" w:space="0" w:color="auto"/>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Total liabilities</w:t>
            </w:r>
          </w:p>
        </w:tc>
        <w:tc>
          <w:tcPr>
            <w:tcW w:w="630" w:type="dxa"/>
            <w:tcBorders>
              <w:top w:val="single" w:sz="6" w:space="0" w:color="auto"/>
              <w:left w:val="nil"/>
              <w:bottom w:val="single" w:sz="6" w:space="0" w:color="auto"/>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71 794.4</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69 965.0</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71 604.0</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70 634.8</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69 402.9</w:t>
            </w:r>
          </w:p>
        </w:tc>
      </w:tr>
      <w:tr w:rsidR="00F60B5F" w:rsidRPr="00D6736D" w:rsidTr="00D6736D">
        <w:tc>
          <w:tcPr>
            <w:tcW w:w="2717" w:type="dxa"/>
            <w:tcBorders>
              <w:top w:val="nil"/>
              <w:left w:val="nil"/>
              <w:bottom w:val="single" w:sz="12" w:space="0" w:color="auto"/>
              <w:right w:val="nil"/>
            </w:tcBorders>
          </w:tcPr>
          <w:p w:rsidR="00F60B5F" w:rsidRPr="00D6736D" w:rsidRDefault="00F60B5F" w:rsidP="00D6736D">
            <w:pPr>
              <w:pStyle w:val="Tabletext"/>
              <w:rPr>
                <w:rFonts w:eastAsiaTheme="minorEastAsia" w:cs="Calibri"/>
                <w:b/>
                <w:bCs/>
                <w:lang w:eastAsia="en-AU"/>
              </w:rPr>
            </w:pPr>
            <w:r w:rsidRPr="00D6736D">
              <w:rPr>
                <w:rFonts w:eastAsiaTheme="minorEastAsia"/>
                <w:b/>
                <w:bCs/>
                <w:sz w:val="19"/>
                <w:lang w:eastAsia="en-AU"/>
              </w:rPr>
              <w:t xml:space="preserve">Net </w:t>
            </w:r>
            <w:r w:rsidRPr="00D6736D">
              <w:rPr>
                <w:rFonts w:eastAsiaTheme="minorEastAsia" w:cs="Calibri"/>
                <w:b/>
                <w:bCs/>
                <w:lang w:eastAsia="en-AU"/>
              </w:rPr>
              <w:t>assets</w:t>
            </w:r>
          </w:p>
        </w:tc>
        <w:tc>
          <w:tcPr>
            <w:tcW w:w="630" w:type="dxa"/>
            <w:tcBorders>
              <w:top w:val="nil"/>
              <w:left w:val="nil"/>
              <w:bottom w:val="single" w:sz="12" w:space="0" w:color="auto"/>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single" w:sz="6" w:space="0" w:color="auto"/>
              <w:left w:val="nil"/>
              <w:bottom w:val="single" w:sz="12"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125 991.1</w:t>
            </w:r>
          </w:p>
        </w:tc>
        <w:tc>
          <w:tcPr>
            <w:tcW w:w="886" w:type="dxa"/>
            <w:tcBorders>
              <w:top w:val="single" w:sz="6" w:space="0" w:color="auto"/>
              <w:left w:val="nil"/>
              <w:bottom w:val="single" w:sz="12"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124 356.0</w:t>
            </w:r>
          </w:p>
        </w:tc>
        <w:tc>
          <w:tcPr>
            <w:tcW w:w="886" w:type="dxa"/>
            <w:tcBorders>
              <w:top w:val="single" w:sz="6" w:space="0" w:color="auto"/>
              <w:left w:val="nil"/>
              <w:bottom w:val="single" w:sz="12"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131 380.6</w:t>
            </w:r>
          </w:p>
        </w:tc>
        <w:tc>
          <w:tcPr>
            <w:tcW w:w="886" w:type="dxa"/>
            <w:tcBorders>
              <w:top w:val="single" w:sz="6" w:space="0" w:color="auto"/>
              <w:left w:val="nil"/>
              <w:bottom w:val="single" w:sz="12"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135 806.4</w:t>
            </w:r>
          </w:p>
        </w:tc>
        <w:tc>
          <w:tcPr>
            <w:tcW w:w="886" w:type="dxa"/>
            <w:tcBorders>
              <w:top w:val="single" w:sz="6" w:space="0" w:color="auto"/>
              <w:left w:val="nil"/>
              <w:bottom w:val="single" w:sz="12"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140 426.6</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cs="Calibri"/>
                <w:lang w:eastAsia="en-AU"/>
              </w:rPr>
            </w:pPr>
            <w:r w:rsidRPr="00D6736D">
              <w:rPr>
                <w:rFonts w:eastAsiaTheme="minorEastAsia"/>
                <w:sz w:val="19"/>
                <w:lang w:eastAsia="en-AU"/>
              </w:rPr>
              <w:t>Accumulated surplus/</w:t>
            </w:r>
            <w:r w:rsidRPr="00D6736D">
              <w:rPr>
                <w:rFonts w:eastAsiaTheme="minorEastAsia" w:cs="Calibri"/>
                <w:lang w:eastAsia="en-AU"/>
              </w:rPr>
              <w:t>(deficit)</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43 719.5</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45 068.6</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45 918.4</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48 308.8</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szCs w:val="22"/>
                <w:lang w:eastAsia="en-AU"/>
              </w:rPr>
            </w:pPr>
            <w:r w:rsidRPr="00D6736D">
              <w:rPr>
                <w:rFonts w:eastAsiaTheme="minorEastAsia"/>
                <w:sz w:val="19"/>
                <w:lang w:eastAsia="en-AU"/>
              </w:rPr>
              <w:t>51 374.5</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Reserves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22</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82 221.6</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79 237.4</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85 412.2</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87 447.6</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89 002.1</w:t>
            </w:r>
          </w:p>
        </w:tc>
      </w:tr>
      <w:tr w:rsidR="00F60B5F" w:rsidRPr="00D6736D" w:rsidTr="00D6736D">
        <w:tc>
          <w:tcPr>
            <w:tcW w:w="2717" w:type="dxa"/>
            <w:tcBorders>
              <w:top w:val="nil"/>
              <w:left w:val="nil"/>
              <w:bottom w:val="single" w:sz="6" w:space="0" w:color="auto"/>
              <w:right w:val="nil"/>
            </w:tcBorders>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Non</w:t>
            </w:r>
            <w:r>
              <w:rPr>
                <w:rFonts w:eastAsiaTheme="minorEastAsia"/>
                <w:sz w:val="19"/>
                <w:lang w:eastAsia="en-AU"/>
              </w:rPr>
              <w:noBreakHyphen/>
            </w:r>
            <w:r w:rsidRPr="00D6736D">
              <w:rPr>
                <w:rFonts w:eastAsiaTheme="minorEastAsia"/>
                <w:sz w:val="19"/>
                <w:lang w:eastAsia="en-AU"/>
              </w:rPr>
              <w:t>controlling interest</w:t>
            </w:r>
          </w:p>
        </w:tc>
        <w:tc>
          <w:tcPr>
            <w:tcW w:w="630" w:type="dxa"/>
            <w:tcBorders>
              <w:top w:val="nil"/>
              <w:left w:val="nil"/>
              <w:bottom w:val="single" w:sz="6" w:space="0" w:color="auto"/>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50.0</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50.0</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50.0</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50.0</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 xml:space="preserve"> 50.0</w:t>
            </w:r>
          </w:p>
        </w:tc>
      </w:tr>
      <w:tr w:rsidR="00F60B5F" w:rsidRPr="00D6736D" w:rsidTr="00D6736D">
        <w:tc>
          <w:tcPr>
            <w:tcW w:w="2717" w:type="dxa"/>
            <w:tcBorders>
              <w:top w:val="single" w:sz="6" w:space="0" w:color="auto"/>
              <w:left w:val="nil"/>
              <w:bottom w:val="single" w:sz="6" w:space="0" w:color="auto"/>
              <w:right w:val="nil"/>
            </w:tcBorders>
          </w:tcPr>
          <w:p w:rsidR="00F60B5F" w:rsidRPr="00D6736D" w:rsidRDefault="00F60B5F" w:rsidP="00D6736D">
            <w:pPr>
              <w:pStyle w:val="Tabletext"/>
              <w:rPr>
                <w:rFonts w:eastAsiaTheme="minorEastAsia"/>
                <w:b/>
                <w:bCs/>
                <w:sz w:val="19"/>
                <w:lang w:eastAsia="en-AU"/>
              </w:rPr>
            </w:pPr>
            <w:r w:rsidRPr="00D6736D">
              <w:rPr>
                <w:rFonts w:eastAsiaTheme="minorEastAsia"/>
                <w:b/>
                <w:bCs/>
                <w:sz w:val="19"/>
                <w:lang w:eastAsia="en-AU"/>
              </w:rPr>
              <w:t>Net worth</w:t>
            </w:r>
          </w:p>
        </w:tc>
        <w:tc>
          <w:tcPr>
            <w:tcW w:w="630" w:type="dxa"/>
            <w:tcBorders>
              <w:top w:val="single" w:sz="6" w:space="0" w:color="auto"/>
              <w:left w:val="nil"/>
              <w:bottom w:val="single" w:sz="6" w:space="0" w:color="auto"/>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125 991.1</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124 356.0</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131 380.6</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135 806.4</w:t>
            </w:r>
          </w:p>
        </w:tc>
        <w:tc>
          <w:tcPr>
            <w:tcW w:w="886" w:type="dxa"/>
            <w:tcBorders>
              <w:top w:val="single" w:sz="6" w:space="0" w:color="auto"/>
              <w:left w:val="nil"/>
              <w:bottom w:val="single" w:sz="6" w:space="0" w:color="auto"/>
              <w:right w:val="nil"/>
            </w:tcBorders>
          </w:tcPr>
          <w:p w:rsidR="00F60B5F" w:rsidRPr="00D6736D" w:rsidRDefault="00F60B5F" w:rsidP="00D6736D">
            <w:pPr>
              <w:pStyle w:val="TableofFigures"/>
              <w:rPr>
                <w:rFonts w:eastAsiaTheme="minorEastAsia"/>
                <w:b/>
                <w:bCs/>
                <w:sz w:val="19"/>
                <w:lang w:eastAsia="en-AU"/>
              </w:rPr>
            </w:pPr>
            <w:r w:rsidRPr="00D6736D">
              <w:rPr>
                <w:rFonts w:eastAsiaTheme="minorEastAsia"/>
                <w:b/>
                <w:bCs/>
                <w:sz w:val="19"/>
                <w:lang w:eastAsia="en-AU"/>
              </w:rPr>
              <w:t>140 426.6</w:t>
            </w: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cs="Calibri"/>
                <w:b/>
                <w:bCs/>
                <w:lang w:eastAsia="en-AU"/>
              </w:rPr>
            </w:pPr>
            <w:r w:rsidRPr="00D6736D">
              <w:rPr>
                <w:rFonts w:eastAsiaTheme="minorEastAsia"/>
                <w:b/>
                <w:bCs/>
                <w:sz w:val="19"/>
                <w:lang w:eastAsia="en-AU"/>
              </w:rPr>
              <w:t xml:space="preserve">FISCAL </w:t>
            </w:r>
            <w:r w:rsidRPr="00D6736D">
              <w:rPr>
                <w:rFonts w:eastAsiaTheme="minorEastAsia" w:cs="Calibri"/>
                <w:b/>
                <w:bCs/>
                <w:lang w:eastAsia="en-AU"/>
              </w:rPr>
              <w:t>AGGREGATES</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c>
          <w:tcPr>
            <w:tcW w:w="886" w:type="dxa"/>
            <w:tcBorders>
              <w:top w:val="nil"/>
              <w:left w:val="nil"/>
              <w:bottom w:val="nil"/>
              <w:right w:val="nil"/>
            </w:tcBorders>
          </w:tcPr>
          <w:p w:rsidR="00F60B5F" w:rsidRPr="00D6736D" w:rsidRDefault="00F60B5F" w:rsidP="00D6736D">
            <w:pPr>
              <w:pStyle w:val="TableofFigures"/>
              <w:rPr>
                <w:rFonts w:eastAsiaTheme="minorEastAsia"/>
                <w:sz w:val="19"/>
                <w:lang w:eastAsia="en-AU"/>
              </w:rPr>
            </w:pPr>
          </w:p>
        </w:tc>
      </w:tr>
      <w:tr w:rsidR="00F60B5F" w:rsidRPr="00D6736D" w:rsidTr="00D6736D">
        <w:tc>
          <w:tcPr>
            <w:tcW w:w="2717" w:type="dxa"/>
            <w:tcBorders>
              <w:top w:val="nil"/>
              <w:left w:val="nil"/>
              <w:bottom w:val="nil"/>
              <w:right w:val="nil"/>
            </w:tcBorders>
          </w:tcPr>
          <w:p w:rsidR="00F60B5F" w:rsidRPr="00D6736D" w:rsidRDefault="00F60B5F" w:rsidP="00D6736D">
            <w:pPr>
              <w:pStyle w:val="Tabletext"/>
              <w:rPr>
                <w:rFonts w:eastAsiaTheme="minorEastAsia" w:cs="Calibri"/>
                <w:lang w:eastAsia="en-AU"/>
              </w:rPr>
            </w:pPr>
            <w:r w:rsidRPr="00D6736D">
              <w:rPr>
                <w:rFonts w:eastAsiaTheme="minorEastAsia"/>
                <w:sz w:val="19"/>
                <w:lang w:eastAsia="en-AU"/>
              </w:rPr>
              <w:t xml:space="preserve">Net financial </w:t>
            </w:r>
            <w:r w:rsidRPr="00D6736D">
              <w:rPr>
                <w:rFonts w:eastAsiaTheme="minorEastAsia" w:cs="Calibri"/>
                <w:lang w:eastAsia="en-AU"/>
              </w:rPr>
              <w:t xml:space="preserve">worth </w:t>
            </w:r>
          </w:p>
        </w:tc>
        <w:tc>
          <w:tcPr>
            <w:tcW w:w="630" w:type="dxa"/>
            <w:tcBorders>
              <w:top w:val="nil"/>
              <w:left w:val="nil"/>
              <w:bottom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18 671.7</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20 619.3</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24 167.0</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27 030.7</w:t>
            </w:r>
          </w:p>
        </w:tc>
        <w:tc>
          <w:tcPr>
            <w:tcW w:w="886" w:type="dxa"/>
            <w:tcBorders>
              <w:top w:val="nil"/>
              <w:left w:val="nil"/>
              <w:bottom w:val="nil"/>
              <w:right w:val="nil"/>
            </w:tcBorders>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28 647.1</w:t>
            </w:r>
          </w:p>
        </w:tc>
      </w:tr>
      <w:tr w:rsidR="00F60B5F" w:rsidRPr="00D6736D" w:rsidTr="00D6736D">
        <w:tc>
          <w:tcPr>
            <w:tcW w:w="2717" w:type="dxa"/>
            <w:tcBorders>
              <w:top w:val="nil"/>
              <w:left w:val="nil"/>
              <w:right w:val="nil"/>
            </w:tcBorders>
          </w:tcPr>
          <w:p w:rsidR="00F60B5F" w:rsidRPr="00D6736D" w:rsidRDefault="00F60B5F" w:rsidP="00D6736D">
            <w:pPr>
              <w:pStyle w:val="Tabletext"/>
              <w:rPr>
                <w:rFonts w:eastAsiaTheme="minorEastAsia" w:cs="Calibri"/>
                <w:lang w:eastAsia="en-AU"/>
              </w:rPr>
            </w:pPr>
            <w:r w:rsidRPr="00D6736D">
              <w:rPr>
                <w:rFonts w:eastAsiaTheme="minorEastAsia"/>
                <w:sz w:val="19"/>
                <w:lang w:eastAsia="en-AU"/>
              </w:rPr>
              <w:t xml:space="preserve">Net financial </w:t>
            </w:r>
            <w:r w:rsidRPr="00D6736D">
              <w:rPr>
                <w:rFonts w:eastAsiaTheme="minorEastAsia" w:cs="Calibri"/>
                <w:lang w:eastAsia="en-AU"/>
              </w:rPr>
              <w:t>liabilities</w:t>
            </w:r>
          </w:p>
        </w:tc>
        <w:tc>
          <w:tcPr>
            <w:tcW w:w="630" w:type="dxa"/>
            <w:tcBorders>
              <w:top w:val="nil"/>
              <w:left w:val="nil"/>
              <w:right w:val="nil"/>
            </w:tcBorders>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54 657.3</w:t>
            </w:r>
          </w:p>
        </w:tc>
        <w:tc>
          <w:tcPr>
            <w:tcW w:w="886" w:type="dxa"/>
            <w:tcBorders>
              <w:top w:val="nil"/>
              <w:left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52 915.0</w:t>
            </w:r>
          </w:p>
        </w:tc>
        <w:tc>
          <w:tcPr>
            <w:tcW w:w="886" w:type="dxa"/>
            <w:tcBorders>
              <w:top w:val="nil"/>
              <w:left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54 364.5</w:t>
            </w:r>
          </w:p>
        </w:tc>
        <w:tc>
          <w:tcPr>
            <w:tcW w:w="886" w:type="dxa"/>
            <w:tcBorders>
              <w:top w:val="nil"/>
              <w:left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53 156.2</w:t>
            </w:r>
          </w:p>
        </w:tc>
        <w:tc>
          <w:tcPr>
            <w:tcW w:w="886" w:type="dxa"/>
            <w:tcBorders>
              <w:top w:val="nil"/>
              <w:left w:val="nil"/>
              <w:right w:val="nil"/>
            </w:tcBorders>
          </w:tcPr>
          <w:p w:rsidR="00F60B5F" w:rsidRPr="00D6736D" w:rsidRDefault="00F60B5F" w:rsidP="00D6736D">
            <w:pPr>
              <w:pStyle w:val="TableofFigures"/>
              <w:rPr>
                <w:rFonts w:eastAsiaTheme="minorEastAsia"/>
                <w:sz w:val="19"/>
                <w:lang w:eastAsia="en-AU"/>
              </w:rPr>
            </w:pPr>
            <w:r w:rsidRPr="00D6736D">
              <w:rPr>
                <w:rFonts w:eastAsiaTheme="minorEastAsia"/>
                <w:sz w:val="19"/>
                <w:lang w:eastAsia="en-AU"/>
              </w:rPr>
              <w:t>51 477.3</w:t>
            </w:r>
          </w:p>
        </w:tc>
      </w:tr>
      <w:tr w:rsidR="00F60B5F" w:rsidRPr="00D6736D" w:rsidTr="00D6736D">
        <w:tc>
          <w:tcPr>
            <w:tcW w:w="2717" w:type="dxa"/>
            <w:tcBorders>
              <w:top w:val="nil"/>
              <w:left w:val="nil"/>
              <w:bottom w:val="single" w:sz="12" w:space="0" w:color="000000"/>
              <w:right w:val="nil"/>
            </w:tcBorders>
            <w:shd w:val="clear" w:color="auto" w:fill="auto"/>
          </w:tcPr>
          <w:p w:rsidR="00F60B5F" w:rsidRPr="00D6736D" w:rsidRDefault="00F60B5F" w:rsidP="00D6736D">
            <w:pPr>
              <w:pStyle w:val="Tabletext"/>
              <w:rPr>
                <w:rFonts w:eastAsiaTheme="minorEastAsia"/>
                <w:sz w:val="19"/>
                <w:lang w:eastAsia="en-AU"/>
              </w:rPr>
            </w:pPr>
            <w:r w:rsidRPr="00D6736D">
              <w:rPr>
                <w:rFonts w:eastAsiaTheme="minorEastAsia"/>
                <w:sz w:val="19"/>
                <w:lang w:eastAsia="en-AU"/>
              </w:rPr>
              <w:t>Net debt</w:t>
            </w:r>
          </w:p>
        </w:tc>
        <w:tc>
          <w:tcPr>
            <w:tcW w:w="630" w:type="dxa"/>
            <w:tcBorders>
              <w:top w:val="nil"/>
              <w:left w:val="nil"/>
              <w:bottom w:val="single" w:sz="12" w:space="0" w:color="000000"/>
              <w:right w:val="nil"/>
            </w:tcBorders>
            <w:shd w:val="clear" w:color="auto" w:fill="auto"/>
          </w:tcPr>
          <w:p w:rsidR="00F60B5F" w:rsidRPr="00D6736D" w:rsidRDefault="00F60B5F" w:rsidP="00D6736D">
            <w:pPr>
              <w:pStyle w:val="TableTextCentred0"/>
              <w:rPr>
                <w:sz w:val="19"/>
              </w:rPr>
            </w:pPr>
            <w:r w:rsidRPr="00D6736D">
              <w:rPr>
                <w:sz w:val="19"/>
              </w:rPr>
              <w:t xml:space="preserve"> </w:t>
            </w:r>
          </w:p>
        </w:tc>
        <w:tc>
          <w:tcPr>
            <w:tcW w:w="886" w:type="dxa"/>
            <w:tcBorders>
              <w:top w:val="nil"/>
              <w:left w:val="nil"/>
              <w:bottom w:val="single" w:sz="12" w:space="0" w:color="000000"/>
              <w:right w:val="nil"/>
            </w:tcBorders>
            <w:shd w:val="clear" w:color="auto" w:fill="auto"/>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22</w:t>
            </w:r>
            <w:r w:rsidRPr="00D6736D">
              <w:rPr>
                <w:rFonts w:eastAsiaTheme="minorEastAsia" w:cs="Calibri"/>
                <w:lang w:eastAsia="en-AU"/>
              </w:rPr>
              <w:t xml:space="preserve"> 964.9</w:t>
            </w:r>
          </w:p>
        </w:tc>
        <w:tc>
          <w:tcPr>
            <w:tcW w:w="886" w:type="dxa"/>
            <w:tcBorders>
              <w:top w:val="nil"/>
              <w:left w:val="nil"/>
              <w:bottom w:val="single" w:sz="12" w:space="0" w:color="000000"/>
              <w:right w:val="nil"/>
            </w:tcBorders>
            <w:shd w:val="clear" w:color="auto" w:fill="auto"/>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22</w:t>
            </w:r>
            <w:r w:rsidRPr="00D6736D">
              <w:rPr>
                <w:rFonts w:eastAsiaTheme="minorEastAsia" w:cs="Calibri"/>
                <w:lang w:eastAsia="en-AU"/>
              </w:rPr>
              <w:t xml:space="preserve"> 702.9</w:t>
            </w:r>
          </w:p>
        </w:tc>
        <w:tc>
          <w:tcPr>
            <w:tcW w:w="886" w:type="dxa"/>
            <w:tcBorders>
              <w:top w:val="nil"/>
              <w:left w:val="nil"/>
              <w:bottom w:val="single" w:sz="12" w:space="0" w:color="000000"/>
              <w:right w:val="nil"/>
            </w:tcBorders>
            <w:shd w:val="clear" w:color="auto" w:fill="auto"/>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24</w:t>
            </w:r>
            <w:r w:rsidRPr="00D6736D">
              <w:rPr>
                <w:rFonts w:eastAsiaTheme="minorEastAsia" w:cs="Calibri"/>
                <w:lang w:eastAsia="en-AU"/>
              </w:rPr>
              <w:t xml:space="preserve"> 782.3</w:t>
            </w:r>
          </w:p>
        </w:tc>
        <w:tc>
          <w:tcPr>
            <w:tcW w:w="886" w:type="dxa"/>
            <w:tcBorders>
              <w:top w:val="nil"/>
              <w:left w:val="nil"/>
              <w:bottom w:val="single" w:sz="12" w:space="0" w:color="000000"/>
              <w:right w:val="nil"/>
            </w:tcBorders>
            <w:shd w:val="clear" w:color="auto" w:fill="auto"/>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23</w:t>
            </w:r>
            <w:r w:rsidRPr="00D6736D">
              <w:rPr>
                <w:rFonts w:eastAsiaTheme="minorEastAsia" w:cs="Calibri"/>
                <w:lang w:eastAsia="en-AU"/>
              </w:rPr>
              <w:t xml:space="preserve"> 893.2</w:t>
            </w:r>
          </w:p>
        </w:tc>
        <w:tc>
          <w:tcPr>
            <w:tcW w:w="886" w:type="dxa"/>
            <w:tcBorders>
              <w:top w:val="nil"/>
              <w:left w:val="nil"/>
              <w:bottom w:val="single" w:sz="12" w:space="0" w:color="000000"/>
              <w:right w:val="nil"/>
            </w:tcBorders>
            <w:shd w:val="clear" w:color="auto" w:fill="auto"/>
          </w:tcPr>
          <w:p w:rsidR="00F60B5F" w:rsidRPr="00D6736D" w:rsidRDefault="00F60B5F" w:rsidP="00D6736D">
            <w:pPr>
              <w:pStyle w:val="TableofFigures"/>
              <w:rPr>
                <w:rFonts w:eastAsiaTheme="minorEastAsia" w:cs="Calibri"/>
                <w:lang w:eastAsia="en-AU"/>
              </w:rPr>
            </w:pPr>
            <w:r w:rsidRPr="00D6736D">
              <w:rPr>
                <w:rFonts w:eastAsiaTheme="minorEastAsia"/>
                <w:sz w:val="19"/>
                <w:lang w:eastAsia="en-AU"/>
              </w:rPr>
              <w:t>22</w:t>
            </w:r>
            <w:r w:rsidRPr="00D6736D">
              <w:rPr>
                <w:rFonts w:eastAsiaTheme="minorEastAsia" w:cs="Calibri"/>
                <w:lang w:eastAsia="en-AU"/>
              </w:rPr>
              <w:t xml:space="preserve"> 793.8</w:t>
            </w:r>
          </w:p>
        </w:tc>
      </w:tr>
    </w:tbl>
    <w:p w:rsidR="00F60B5F" w:rsidRPr="00B56B1C" w:rsidRDefault="00F60B5F" w:rsidP="009939C8">
      <w:pPr>
        <w:pStyle w:val="Source"/>
      </w:pPr>
      <w:r w:rsidRPr="00B56B1C">
        <w:t xml:space="preserve">The accompanying notes form part of these </w:t>
      </w:r>
      <w:r>
        <w:t>estimated financial statements.</w:t>
      </w:r>
    </w:p>
    <w:p w:rsidR="00F60B5F" w:rsidRPr="00B56B1C" w:rsidRDefault="00F60B5F" w:rsidP="009939C8">
      <w:pPr>
        <w:pStyle w:val="Notes"/>
      </w:pPr>
      <w:r w:rsidRPr="00B56B1C">
        <w:t>Note:</w:t>
      </w:r>
    </w:p>
    <w:p w:rsidR="00F60B5F" w:rsidRPr="00B56B1C" w:rsidRDefault="00F60B5F" w:rsidP="009939C8">
      <w:pPr>
        <w:pStyle w:val="Notes"/>
      </w:pPr>
      <w:r w:rsidRPr="00B56B1C">
        <w:t>(a)</w:t>
      </w:r>
      <w:r w:rsidRPr="00B56B1C">
        <w:tab/>
        <w:t>Balances represent actual opening balances at 1 July 2013 plus 2013</w:t>
      </w:r>
      <w:r>
        <w:noBreakHyphen/>
      </w:r>
      <w:r w:rsidRPr="00B56B1C">
        <w:t>14 budgeted movements.</w:t>
      </w:r>
    </w:p>
    <w:p w:rsidR="00F60B5F" w:rsidRPr="00B56B1C" w:rsidRDefault="00F60B5F" w:rsidP="007B3BC0"/>
    <w:p w:rsidR="00F60B5F" w:rsidRDefault="00F60B5F">
      <w:pPr>
        <w:spacing w:after="0"/>
        <w:rPr>
          <w:rFonts w:ascii="Calibri" w:hAnsi="Calibri"/>
          <w:b/>
        </w:rPr>
      </w:pPr>
      <w:r>
        <w:br w:type="page"/>
      </w:r>
    </w:p>
    <w:p w:rsidR="00F60B5F" w:rsidRPr="00B56B1C" w:rsidRDefault="00F60B5F" w:rsidP="000223B9">
      <w:pPr>
        <w:pStyle w:val="Tableheading"/>
      </w:pPr>
      <w:r w:rsidRPr="00B56B1C">
        <w:t>Table 5.4:</w:t>
      </w:r>
      <w:r w:rsidRPr="00B56B1C">
        <w:tab/>
        <w:t>Estimated consolidated cash flow statement for the financial year ending 30 June</w:t>
      </w:r>
    </w:p>
    <w:p w:rsidR="00F60B5F" w:rsidRPr="00820AF8" w:rsidRDefault="00F60B5F" w:rsidP="00820AF8">
      <w:pPr>
        <w:pStyle w:val="million"/>
      </w:pPr>
      <w:r w:rsidRPr="00B56B1C">
        <w:t>($</w:t>
      </w:r>
      <w:r>
        <w:t> million</w:t>
      </w:r>
      <w:r w:rsidRPr="00B56B1C">
        <w:t>)</w:t>
      </w:r>
    </w:p>
    <w:tbl>
      <w:tblPr>
        <w:tblW w:w="7757" w:type="dxa"/>
        <w:tblInd w:w="28" w:type="dxa"/>
        <w:tblLayout w:type="fixed"/>
        <w:tblCellMar>
          <w:left w:w="45" w:type="dxa"/>
          <w:right w:w="45" w:type="dxa"/>
        </w:tblCellMar>
        <w:tblLook w:val="0000" w:firstRow="0" w:lastRow="0" w:firstColumn="0" w:lastColumn="0" w:noHBand="0" w:noVBand="0"/>
      </w:tblPr>
      <w:tblGrid>
        <w:gridCol w:w="2537"/>
        <w:gridCol w:w="90"/>
        <w:gridCol w:w="360"/>
        <w:gridCol w:w="7"/>
        <w:gridCol w:w="173"/>
        <w:gridCol w:w="536"/>
        <w:gridCol w:w="382"/>
        <w:gridCol w:w="918"/>
        <w:gridCol w:w="918"/>
        <w:gridCol w:w="918"/>
        <w:gridCol w:w="918"/>
      </w:tblGrid>
      <w:tr w:rsidR="00F60B5F" w:rsidRPr="00820AF8" w:rsidTr="00820AF8">
        <w:trPr>
          <w:tblHeader/>
        </w:trPr>
        <w:tc>
          <w:tcPr>
            <w:tcW w:w="2537"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 xml:space="preserve">     </w:t>
            </w:r>
          </w:p>
        </w:tc>
        <w:tc>
          <w:tcPr>
            <w:tcW w:w="630" w:type="dxa"/>
            <w:gridSpan w:val="4"/>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 xml:space="preserve"> </w:t>
            </w:r>
          </w:p>
        </w:tc>
        <w:tc>
          <w:tcPr>
            <w:tcW w:w="918" w:type="dxa"/>
            <w:gridSpan w:val="2"/>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2013</w:t>
            </w:r>
            <w:r>
              <w:rPr>
                <w:rFonts w:eastAsiaTheme="minorEastAsia"/>
                <w:lang w:eastAsia="en-AU"/>
              </w:rPr>
              <w:noBreakHyphen/>
            </w:r>
            <w:r w:rsidRPr="00820AF8">
              <w:rPr>
                <w:rFonts w:eastAsiaTheme="minorEastAsia"/>
                <w:lang w:eastAsia="en-AU"/>
              </w:rPr>
              <w:t>14</w:t>
            </w:r>
          </w:p>
        </w:tc>
        <w:tc>
          <w:tcPr>
            <w:tcW w:w="918"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2013</w:t>
            </w:r>
            <w:r>
              <w:rPr>
                <w:rFonts w:eastAsiaTheme="minorEastAsia"/>
                <w:lang w:eastAsia="en-AU"/>
              </w:rPr>
              <w:noBreakHyphen/>
            </w:r>
            <w:r w:rsidRPr="00820AF8">
              <w:rPr>
                <w:rFonts w:eastAsiaTheme="minorEastAsia"/>
                <w:lang w:eastAsia="en-AU"/>
              </w:rPr>
              <w:t>14</w:t>
            </w:r>
          </w:p>
        </w:tc>
        <w:tc>
          <w:tcPr>
            <w:tcW w:w="918"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2014</w:t>
            </w:r>
            <w:r>
              <w:rPr>
                <w:rFonts w:eastAsiaTheme="minorEastAsia"/>
                <w:lang w:eastAsia="en-AU"/>
              </w:rPr>
              <w:noBreakHyphen/>
            </w:r>
            <w:r w:rsidRPr="00820AF8">
              <w:rPr>
                <w:rFonts w:eastAsiaTheme="minorEastAsia"/>
                <w:lang w:eastAsia="en-AU"/>
              </w:rPr>
              <w:t>15</w:t>
            </w:r>
          </w:p>
        </w:tc>
        <w:tc>
          <w:tcPr>
            <w:tcW w:w="918"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2015</w:t>
            </w:r>
            <w:r>
              <w:rPr>
                <w:rFonts w:eastAsiaTheme="minorEastAsia"/>
                <w:lang w:eastAsia="en-AU"/>
              </w:rPr>
              <w:noBreakHyphen/>
            </w:r>
            <w:r w:rsidRPr="00820AF8">
              <w:rPr>
                <w:rFonts w:eastAsiaTheme="minorEastAsia"/>
                <w:lang w:eastAsia="en-AU"/>
              </w:rPr>
              <w:t>16</w:t>
            </w:r>
          </w:p>
        </w:tc>
        <w:tc>
          <w:tcPr>
            <w:tcW w:w="918"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2016</w:t>
            </w:r>
            <w:r>
              <w:rPr>
                <w:rFonts w:eastAsiaTheme="minorEastAsia"/>
                <w:lang w:eastAsia="en-AU"/>
              </w:rPr>
              <w:noBreakHyphen/>
            </w:r>
            <w:r w:rsidRPr="00820AF8">
              <w:rPr>
                <w:rFonts w:eastAsiaTheme="minorEastAsia"/>
                <w:lang w:eastAsia="en-AU"/>
              </w:rPr>
              <w:t>17</w:t>
            </w:r>
          </w:p>
        </w:tc>
      </w:tr>
      <w:tr w:rsidR="00F60B5F" w:rsidRPr="00820AF8" w:rsidTr="00820AF8">
        <w:trPr>
          <w:tblHeader/>
        </w:trPr>
        <w:tc>
          <w:tcPr>
            <w:tcW w:w="2537"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 xml:space="preserve">     </w:t>
            </w:r>
          </w:p>
        </w:tc>
        <w:tc>
          <w:tcPr>
            <w:tcW w:w="630" w:type="dxa"/>
            <w:gridSpan w:val="4"/>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Notes</w:t>
            </w:r>
          </w:p>
        </w:tc>
        <w:tc>
          <w:tcPr>
            <w:tcW w:w="918" w:type="dxa"/>
            <w:gridSpan w:val="2"/>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Budget</w:t>
            </w:r>
          </w:p>
        </w:tc>
        <w:tc>
          <w:tcPr>
            <w:tcW w:w="918"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Revised</w:t>
            </w:r>
          </w:p>
        </w:tc>
        <w:tc>
          <w:tcPr>
            <w:tcW w:w="918"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Estimate</w:t>
            </w:r>
          </w:p>
        </w:tc>
        <w:tc>
          <w:tcPr>
            <w:tcW w:w="918"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Estimate</w:t>
            </w:r>
          </w:p>
        </w:tc>
        <w:tc>
          <w:tcPr>
            <w:tcW w:w="918"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Estimate</w:t>
            </w:r>
          </w:p>
        </w:tc>
      </w:tr>
      <w:tr w:rsidR="00F60B5F" w:rsidRPr="00820AF8" w:rsidTr="006F65E0">
        <w:tc>
          <w:tcPr>
            <w:tcW w:w="2987" w:type="dxa"/>
            <w:gridSpan w:val="3"/>
            <w:tcBorders>
              <w:top w:val="single" w:sz="6" w:space="0" w:color="000000"/>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Cash flows from operating activities</w:t>
            </w:r>
          </w:p>
        </w:tc>
        <w:tc>
          <w:tcPr>
            <w:tcW w:w="180" w:type="dxa"/>
            <w:gridSpan w:val="2"/>
            <w:tcBorders>
              <w:top w:val="single" w:sz="6" w:space="0" w:color="000000"/>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single" w:sz="6" w:space="0" w:color="000000"/>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18" w:type="dxa"/>
            <w:tcBorders>
              <w:top w:val="single" w:sz="6" w:space="0" w:color="000000"/>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18" w:type="dxa"/>
            <w:tcBorders>
              <w:top w:val="single" w:sz="6" w:space="0" w:color="000000"/>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18" w:type="dxa"/>
            <w:tcBorders>
              <w:top w:val="single" w:sz="6" w:space="0" w:color="000000"/>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18" w:type="dxa"/>
            <w:tcBorders>
              <w:top w:val="single" w:sz="6" w:space="0" w:color="000000"/>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Receipts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Taxes received</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16 450.9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16 530.4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17 617.7</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18 423.3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19 280.8</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Grants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23 310.5</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23 200.8</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24 267.8</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24 869.5</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26 166.1</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vertAlign w:val="superscript"/>
                <w:lang w:eastAsia="en-AU"/>
              </w:rPr>
            </w:pPr>
            <w:r w:rsidRPr="00820AF8">
              <w:rPr>
                <w:rFonts w:eastAsiaTheme="minorEastAsia"/>
                <w:sz w:val="19"/>
                <w:lang w:eastAsia="en-AU"/>
              </w:rPr>
              <w:t xml:space="preserve">Sales of goods and services </w:t>
            </w:r>
            <w:r w:rsidRPr="00820AF8">
              <w:rPr>
                <w:rFonts w:eastAsiaTheme="minorEastAsia"/>
                <w:sz w:val="19"/>
                <w:vertAlign w:val="superscript"/>
                <w:lang w:eastAsia="en-AU"/>
              </w:rPr>
              <w:t>(a)</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7 631.3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7 433.9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7 318.4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7 554.6</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7 594.4</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Interest received</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844.9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820.3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820.3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840.8</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851.4</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Dividends and income tax equivalent and rate equivalent receipts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650.4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612.7</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561.3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749.7</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680.4</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Other receipts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1 784.9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1 784.4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1 678.9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1 696.5</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1 722.1</w:t>
            </w:r>
          </w:p>
        </w:tc>
      </w:tr>
      <w:tr w:rsidR="00F60B5F" w:rsidRPr="00820AF8" w:rsidTr="00820AF8">
        <w:tc>
          <w:tcPr>
            <w:tcW w:w="2537" w:type="dxa"/>
            <w:tcBorders>
              <w:top w:val="single" w:sz="6" w:space="0" w:color="auto"/>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Total receipts</w:t>
            </w:r>
          </w:p>
        </w:tc>
        <w:tc>
          <w:tcPr>
            <w:tcW w:w="630" w:type="dxa"/>
            <w:gridSpan w:val="4"/>
            <w:tcBorders>
              <w:top w:val="single" w:sz="6" w:space="0" w:color="auto"/>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50 672.9</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50 382.4</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52 264.4</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54 134.4</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56 295.2</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Payments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Payments for employees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(17 757.4)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(17 634.4)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(18 268.9)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(18 975.7)</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(19 589.8)</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Superannuation</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(2 647.9)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(2 638.1)</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(2 676.4)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(2 716.1)</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(2 876.3)</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Interest paid</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(2 133.0)</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(2 125.4)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(2 236.3)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(2 243.8)</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(2 268.0)</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Grants and subsidies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(8 118.3)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(7 909.4)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(8 273.4)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(8 416.7)</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(8 804.0)</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vertAlign w:val="superscript"/>
                <w:lang w:eastAsia="en-AU"/>
              </w:rPr>
            </w:pPr>
            <w:r w:rsidRPr="00820AF8">
              <w:rPr>
                <w:rFonts w:eastAsiaTheme="minorEastAsia"/>
                <w:sz w:val="19"/>
                <w:lang w:eastAsia="en-AU"/>
              </w:rPr>
              <w:t xml:space="preserve">Goods and services </w:t>
            </w:r>
            <w:r w:rsidRPr="00820AF8">
              <w:rPr>
                <w:rFonts w:eastAsiaTheme="minorEastAsia"/>
                <w:sz w:val="19"/>
                <w:vertAlign w:val="superscript"/>
                <w:lang w:eastAsia="en-AU"/>
              </w:rPr>
              <w:t>(a)</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(16 662.0)</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(16 879.1)</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(16 783.1)</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(16 446.1)</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(16 870.9)</w:t>
            </w:r>
          </w:p>
        </w:tc>
      </w:tr>
      <w:tr w:rsidR="00F60B5F" w:rsidRPr="00820AF8" w:rsidTr="00820AF8">
        <w:tc>
          <w:tcPr>
            <w:tcW w:w="2537" w:type="dxa"/>
            <w:tcBorders>
              <w:top w:val="nil"/>
              <w:left w:val="nil"/>
              <w:bottom w:val="single" w:sz="6" w:space="0" w:color="auto"/>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Other payments</w:t>
            </w:r>
          </w:p>
        </w:tc>
        <w:tc>
          <w:tcPr>
            <w:tcW w:w="630" w:type="dxa"/>
            <w:gridSpan w:val="4"/>
            <w:tcBorders>
              <w:top w:val="nil"/>
              <w:left w:val="nil"/>
              <w:bottom w:val="single" w:sz="6" w:space="0" w:color="auto"/>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( 622.8)</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( 622.8)</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( 659.0)</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( 688.2)</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( 717.4)</w:t>
            </w:r>
          </w:p>
        </w:tc>
      </w:tr>
      <w:tr w:rsidR="00F60B5F" w:rsidRPr="00820AF8" w:rsidTr="00820AF8">
        <w:tc>
          <w:tcPr>
            <w:tcW w:w="2537" w:type="dxa"/>
            <w:tcBorders>
              <w:top w:val="nil"/>
              <w:left w:val="nil"/>
              <w:bottom w:val="single" w:sz="6" w:space="0" w:color="auto"/>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Total payments</w:t>
            </w:r>
          </w:p>
        </w:tc>
        <w:tc>
          <w:tcPr>
            <w:tcW w:w="630" w:type="dxa"/>
            <w:gridSpan w:val="4"/>
            <w:tcBorders>
              <w:top w:val="nil"/>
              <w:left w:val="nil"/>
              <w:bottom w:val="single" w:sz="6" w:space="0" w:color="auto"/>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(47 941.3)</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(47 809.1)</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(48 897.1)</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(49 486.6)</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(51 126.4)</w:t>
            </w:r>
          </w:p>
        </w:tc>
      </w:tr>
      <w:tr w:rsidR="00F60B5F" w:rsidRPr="00820AF8" w:rsidTr="00820AF8">
        <w:tc>
          <w:tcPr>
            <w:tcW w:w="2537" w:type="dxa"/>
            <w:tcBorders>
              <w:top w:val="single" w:sz="6" w:space="0" w:color="auto"/>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Net cash flows from operating activities</w:t>
            </w:r>
          </w:p>
        </w:tc>
        <w:tc>
          <w:tcPr>
            <w:tcW w:w="630" w:type="dxa"/>
            <w:gridSpan w:val="4"/>
            <w:tcBorders>
              <w:top w:val="single" w:sz="6" w:space="0" w:color="auto"/>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2 731.6</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2 573.2</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3 367.3</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4 647.8</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5 168.9</w:t>
            </w:r>
          </w:p>
        </w:tc>
      </w:tr>
      <w:tr w:rsidR="00F60B5F" w:rsidRPr="00820AF8" w:rsidTr="00820AF8">
        <w:tc>
          <w:tcPr>
            <w:tcW w:w="2994" w:type="dxa"/>
            <w:gridSpan w:val="4"/>
            <w:tcBorders>
              <w:top w:val="nil"/>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Cash flows from investing activities</w:t>
            </w:r>
          </w:p>
        </w:tc>
        <w:tc>
          <w:tcPr>
            <w:tcW w:w="709" w:type="dxa"/>
            <w:gridSpan w:val="2"/>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382"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Purchases of non</w:t>
            </w:r>
            <w:r>
              <w:rPr>
                <w:rFonts w:eastAsiaTheme="minorEastAsia"/>
                <w:sz w:val="19"/>
                <w:lang w:eastAsia="en-AU"/>
              </w:rPr>
              <w:noBreakHyphen/>
            </w:r>
            <w:r w:rsidRPr="00820AF8">
              <w:rPr>
                <w:rFonts w:eastAsiaTheme="minorEastAsia"/>
                <w:sz w:val="19"/>
                <w:lang w:eastAsia="en-AU"/>
              </w:rPr>
              <w:t>financial assets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cs="Calibri"/>
                <w:color w:val="000000"/>
                <w:szCs w:val="22"/>
                <w:lang w:eastAsia="en-AU"/>
              </w:rPr>
            </w:pPr>
            <w:r w:rsidRPr="00820AF8">
              <w:rPr>
                <w:rFonts w:eastAsiaTheme="minorEastAsia"/>
                <w:sz w:val="19"/>
                <w:lang w:eastAsia="en-AU"/>
              </w:rPr>
              <w:t>19(</w:t>
            </w:r>
            <w:r w:rsidRPr="00820AF8">
              <w:rPr>
                <w:rFonts w:eastAsiaTheme="minorEastAsia" w:cs="Calibri"/>
                <w:color w:val="000000"/>
                <w:szCs w:val="22"/>
                <w:lang w:eastAsia="en-AU"/>
              </w:rPr>
              <w:t>a)</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(4 868.9)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(4 185.2)</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(4 389.5)</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(3 096.8)</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(4 111.2)</w:t>
            </w:r>
          </w:p>
        </w:tc>
      </w:tr>
      <w:tr w:rsidR="00F60B5F" w:rsidRPr="00820AF8" w:rsidTr="00820AF8">
        <w:tc>
          <w:tcPr>
            <w:tcW w:w="2537" w:type="dxa"/>
            <w:tcBorders>
              <w:top w:val="nil"/>
              <w:left w:val="nil"/>
              <w:bottom w:val="single" w:sz="6" w:space="0" w:color="auto"/>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Sales of non</w:t>
            </w:r>
            <w:r>
              <w:rPr>
                <w:rFonts w:eastAsiaTheme="minorEastAsia"/>
                <w:sz w:val="19"/>
                <w:lang w:eastAsia="en-AU"/>
              </w:rPr>
              <w:noBreakHyphen/>
            </w:r>
            <w:r w:rsidRPr="00820AF8">
              <w:rPr>
                <w:rFonts w:eastAsiaTheme="minorEastAsia"/>
                <w:sz w:val="19"/>
                <w:lang w:eastAsia="en-AU"/>
              </w:rPr>
              <w:t>financial assets</w:t>
            </w:r>
          </w:p>
        </w:tc>
        <w:tc>
          <w:tcPr>
            <w:tcW w:w="630" w:type="dxa"/>
            <w:gridSpan w:val="4"/>
            <w:tcBorders>
              <w:top w:val="nil"/>
              <w:left w:val="nil"/>
              <w:bottom w:val="single" w:sz="6" w:space="0" w:color="auto"/>
              <w:right w:val="nil"/>
            </w:tcBorders>
            <w:shd w:val="clear" w:color="auto" w:fill="auto"/>
          </w:tcPr>
          <w:p w:rsidR="00F60B5F" w:rsidRPr="00820AF8" w:rsidRDefault="00F60B5F" w:rsidP="00820AF8">
            <w:pPr>
              <w:pStyle w:val="TableofFigures"/>
              <w:jc w:val="center"/>
              <w:rPr>
                <w:rFonts w:eastAsiaTheme="minorEastAsia"/>
                <w:sz w:val="19"/>
                <w:lang w:eastAsia="en-AU"/>
              </w:rPr>
            </w:pPr>
          </w:p>
        </w:tc>
        <w:tc>
          <w:tcPr>
            <w:tcW w:w="918" w:type="dxa"/>
            <w:gridSpan w:val="2"/>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420.2</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407.7</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419.3</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485.8</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445.2</w:t>
            </w:r>
          </w:p>
        </w:tc>
      </w:tr>
      <w:tr w:rsidR="00F60B5F" w:rsidRPr="00820AF8" w:rsidTr="00820AF8">
        <w:tc>
          <w:tcPr>
            <w:tcW w:w="2537" w:type="dxa"/>
            <w:tcBorders>
              <w:top w:val="nil"/>
              <w:left w:val="nil"/>
              <w:bottom w:val="nil"/>
              <w:right w:val="nil"/>
            </w:tcBorders>
            <w:shd w:val="clear" w:color="auto" w:fill="auto"/>
          </w:tcPr>
          <w:p w:rsidR="00F60B5F" w:rsidRPr="009C2230" w:rsidRDefault="00F60B5F" w:rsidP="00820AF8">
            <w:pPr>
              <w:pStyle w:val="Tabletext"/>
              <w:rPr>
                <w:rFonts w:eastAsiaTheme="minorEastAsia"/>
                <w:b/>
                <w:sz w:val="19"/>
                <w:lang w:eastAsia="en-AU"/>
              </w:rPr>
            </w:pPr>
            <w:r w:rsidRPr="009C2230">
              <w:rPr>
                <w:rFonts w:eastAsiaTheme="minorEastAsia"/>
                <w:b/>
                <w:sz w:val="19"/>
                <w:lang w:eastAsia="en-AU"/>
              </w:rPr>
              <w:t>Cash flows from investments in non</w:t>
            </w:r>
            <w:r>
              <w:rPr>
                <w:rFonts w:eastAsiaTheme="minorEastAsia"/>
                <w:b/>
                <w:sz w:val="19"/>
                <w:lang w:eastAsia="en-AU"/>
              </w:rPr>
              <w:noBreakHyphen/>
            </w:r>
            <w:r w:rsidRPr="009C2230">
              <w:rPr>
                <w:rFonts w:eastAsiaTheme="minorEastAsia"/>
                <w:b/>
                <w:sz w:val="19"/>
                <w:lang w:eastAsia="en-AU"/>
              </w:rPr>
              <w:t>financial assets</w:t>
            </w:r>
          </w:p>
        </w:tc>
        <w:tc>
          <w:tcPr>
            <w:tcW w:w="630" w:type="dxa"/>
            <w:gridSpan w:val="4"/>
            <w:tcBorders>
              <w:top w:val="nil"/>
              <w:left w:val="nil"/>
              <w:bottom w:val="nil"/>
              <w:right w:val="nil"/>
            </w:tcBorders>
            <w:shd w:val="clear" w:color="auto" w:fill="auto"/>
          </w:tcPr>
          <w:p w:rsidR="00F60B5F" w:rsidRPr="009C2230" w:rsidRDefault="00F60B5F" w:rsidP="00820AF8">
            <w:pPr>
              <w:pStyle w:val="TableofFigures"/>
              <w:jc w:val="center"/>
              <w:rPr>
                <w:rFonts w:eastAsiaTheme="minorEastAsia"/>
                <w:b/>
                <w:sz w:val="19"/>
                <w:lang w:eastAsia="en-AU"/>
              </w:rPr>
            </w:pPr>
            <w:r w:rsidRPr="009C2230">
              <w:rPr>
                <w:rFonts w:eastAsiaTheme="minorEastAsia"/>
                <w:b/>
                <w:sz w:val="19"/>
                <w:lang w:eastAsia="en-AU"/>
              </w:rPr>
              <w:t xml:space="preserve"> </w:t>
            </w:r>
          </w:p>
        </w:tc>
        <w:tc>
          <w:tcPr>
            <w:tcW w:w="918" w:type="dxa"/>
            <w:gridSpan w:val="2"/>
            <w:tcBorders>
              <w:top w:val="nil"/>
              <w:left w:val="nil"/>
              <w:bottom w:val="nil"/>
              <w:right w:val="nil"/>
            </w:tcBorders>
            <w:shd w:val="clear" w:color="auto" w:fill="auto"/>
          </w:tcPr>
          <w:p w:rsidR="00F60B5F" w:rsidRPr="009C2230" w:rsidRDefault="00F60B5F" w:rsidP="00820AF8">
            <w:pPr>
              <w:pStyle w:val="TableofFigures"/>
              <w:rPr>
                <w:rFonts w:eastAsiaTheme="minorEastAsia"/>
                <w:b/>
                <w:sz w:val="19"/>
                <w:lang w:eastAsia="en-AU"/>
              </w:rPr>
            </w:pPr>
            <w:r w:rsidRPr="009C2230">
              <w:rPr>
                <w:rFonts w:eastAsiaTheme="minorEastAsia"/>
                <w:b/>
                <w:sz w:val="19"/>
                <w:lang w:eastAsia="en-AU"/>
              </w:rPr>
              <w:t>(4 448.7)</w:t>
            </w:r>
          </w:p>
        </w:tc>
        <w:tc>
          <w:tcPr>
            <w:tcW w:w="918" w:type="dxa"/>
            <w:tcBorders>
              <w:top w:val="nil"/>
              <w:left w:val="nil"/>
              <w:bottom w:val="nil"/>
              <w:right w:val="nil"/>
            </w:tcBorders>
            <w:shd w:val="clear" w:color="auto" w:fill="auto"/>
          </w:tcPr>
          <w:p w:rsidR="00F60B5F" w:rsidRPr="009C2230" w:rsidRDefault="00F60B5F" w:rsidP="00820AF8">
            <w:pPr>
              <w:pStyle w:val="TableofFigures"/>
              <w:rPr>
                <w:rFonts w:eastAsiaTheme="minorEastAsia"/>
                <w:b/>
                <w:sz w:val="19"/>
                <w:lang w:eastAsia="en-AU"/>
              </w:rPr>
            </w:pPr>
            <w:r w:rsidRPr="009C2230">
              <w:rPr>
                <w:rFonts w:eastAsiaTheme="minorEastAsia"/>
                <w:b/>
                <w:sz w:val="19"/>
                <w:lang w:eastAsia="en-AU"/>
              </w:rPr>
              <w:t>(3 777.5)</w:t>
            </w:r>
          </w:p>
        </w:tc>
        <w:tc>
          <w:tcPr>
            <w:tcW w:w="918" w:type="dxa"/>
            <w:tcBorders>
              <w:top w:val="nil"/>
              <w:left w:val="nil"/>
              <w:bottom w:val="nil"/>
              <w:right w:val="nil"/>
            </w:tcBorders>
            <w:shd w:val="clear" w:color="auto" w:fill="auto"/>
          </w:tcPr>
          <w:p w:rsidR="00F60B5F" w:rsidRPr="009C2230" w:rsidRDefault="00F60B5F" w:rsidP="00820AF8">
            <w:pPr>
              <w:pStyle w:val="TableofFigures"/>
              <w:rPr>
                <w:rFonts w:eastAsiaTheme="minorEastAsia"/>
                <w:b/>
                <w:sz w:val="19"/>
                <w:lang w:eastAsia="en-AU"/>
              </w:rPr>
            </w:pPr>
            <w:r w:rsidRPr="009C2230">
              <w:rPr>
                <w:rFonts w:eastAsiaTheme="minorEastAsia"/>
                <w:b/>
                <w:sz w:val="19"/>
                <w:lang w:eastAsia="en-AU"/>
              </w:rPr>
              <w:t>(3 970.1)</w:t>
            </w:r>
          </w:p>
        </w:tc>
        <w:tc>
          <w:tcPr>
            <w:tcW w:w="918" w:type="dxa"/>
            <w:tcBorders>
              <w:top w:val="nil"/>
              <w:left w:val="nil"/>
              <w:bottom w:val="nil"/>
              <w:right w:val="nil"/>
            </w:tcBorders>
            <w:shd w:val="clear" w:color="auto" w:fill="auto"/>
          </w:tcPr>
          <w:p w:rsidR="00F60B5F" w:rsidRPr="009C2230" w:rsidRDefault="00F60B5F" w:rsidP="00820AF8">
            <w:pPr>
              <w:pStyle w:val="TableofFigures"/>
              <w:rPr>
                <w:rFonts w:eastAsiaTheme="minorEastAsia"/>
                <w:b/>
                <w:sz w:val="19"/>
                <w:lang w:eastAsia="en-AU"/>
              </w:rPr>
            </w:pPr>
            <w:r w:rsidRPr="009C2230">
              <w:rPr>
                <w:rFonts w:eastAsiaTheme="minorEastAsia"/>
                <w:b/>
                <w:sz w:val="19"/>
                <w:lang w:eastAsia="en-AU"/>
              </w:rPr>
              <w:t>(2 611.0)</w:t>
            </w:r>
          </w:p>
        </w:tc>
        <w:tc>
          <w:tcPr>
            <w:tcW w:w="918" w:type="dxa"/>
            <w:tcBorders>
              <w:top w:val="nil"/>
              <w:left w:val="nil"/>
              <w:bottom w:val="nil"/>
              <w:right w:val="nil"/>
            </w:tcBorders>
            <w:shd w:val="clear" w:color="auto" w:fill="auto"/>
          </w:tcPr>
          <w:p w:rsidR="00F60B5F" w:rsidRPr="009C2230" w:rsidRDefault="00F60B5F" w:rsidP="00820AF8">
            <w:pPr>
              <w:pStyle w:val="TableofFigures"/>
              <w:rPr>
                <w:rFonts w:eastAsiaTheme="minorEastAsia"/>
                <w:b/>
                <w:sz w:val="19"/>
                <w:lang w:eastAsia="en-AU"/>
              </w:rPr>
            </w:pPr>
            <w:r w:rsidRPr="009C2230">
              <w:rPr>
                <w:rFonts w:eastAsiaTheme="minorEastAsia"/>
                <w:b/>
                <w:sz w:val="19"/>
                <w:lang w:eastAsia="en-AU"/>
              </w:rPr>
              <w:t>(3 666.0)</w:t>
            </w:r>
          </w:p>
        </w:tc>
      </w:tr>
      <w:tr w:rsidR="00F60B5F" w:rsidRPr="00820AF8" w:rsidTr="00820AF8">
        <w:tc>
          <w:tcPr>
            <w:tcW w:w="2537" w:type="dxa"/>
            <w:tcBorders>
              <w:top w:val="nil"/>
              <w:left w:val="nil"/>
              <w:bottom w:val="single" w:sz="6" w:space="0" w:color="auto"/>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Net cash flows from investments in financial assets for policy purposes</w:t>
            </w:r>
          </w:p>
        </w:tc>
        <w:tc>
          <w:tcPr>
            <w:tcW w:w="630" w:type="dxa"/>
            <w:gridSpan w:val="4"/>
            <w:tcBorders>
              <w:top w:val="nil"/>
              <w:left w:val="nil"/>
              <w:bottom w:val="single" w:sz="6" w:space="0" w:color="auto"/>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(1 377.3)</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(1 526.6)</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(1 388.8)</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( 39.7)</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( 94.9)</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Sub</w:t>
            </w:r>
            <w:r>
              <w:rPr>
                <w:rFonts w:eastAsiaTheme="minorEastAsia"/>
                <w:b/>
                <w:bCs/>
                <w:sz w:val="19"/>
                <w:lang w:eastAsia="en-AU"/>
              </w:rPr>
              <w:noBreakHyphen/>
            </w:r>
            <w:r w:rsidRPr="00820AF8">
              <w:rPr>
                <w:rFonts w:eastAsiaTheme="minorEastAsia"/>
                <w:b/>
                <w:bCs/>
                <w:sz w:val="19"/>
                <w:lang w:eastAsia="en-AU"/>
              </w:rPr>
              <w:t>total</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(5 826.0)</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(5 304.2)</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(5 358.9)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(2 650.7)</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(3 760.8)</w:t>
            </w:r>
          </w:p>
        </w:tc>
      </w:tr>
      <w:tr w:rsidR="00F60B5F" w:rsidRPr="00820AF8" w:rsidTr="00820AF8">
        <w:tc>
          <w:tcPr>
            <w:tcW w:w="2537" w:type="dxa"/>
            <w:tcBorders>
              <w:top w:val="nil"/>
              <w:left w:val="nil"/>
              <w:bottom w:val="single" w:sz="6" w:space="0" w:color="auto"/>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Net cash flows from investments in financial assets for liquidity management purposes</w:t>
            </w:r>
          </w:p>
        </w:tc>
        <w:tc>
          <w:tcPr>
            <w:tcW w:w="630" w:type="dxa"/>
            <w:gridSpan w:val="4"/>
            <w:tcBorders>
              <w:top w:val="nil"/>
              <w:left w:val="nil"/>
              <w:bottom w:val="single" w:sz="6" w:space="0" w:color="auto"/>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( 83.1)</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( 19.3)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( 80.4)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( 91.6)</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( 85.1)</w:t>
            </w:r>
          </w:p>
        </w:tc>
      </w:tr>
      <w:tr w:rsidR="00F60B5F" w:rsidRPr="00820AF8" w:rsidTr="00820AF8">
        <w:tc>
          <w:tcPr>
            <w:tcW w:w="2537" w:type="dxa"/>
            <w:tcBorders>
              <w:top w:val="single" w:sz="6" w:space="0" w:color="auto"/>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Net cash flows from investing activities</w:t>
            </w:r>
          </w:p>
        </w:tc>
        <w:tc>
          <w:tcPr>
            <w:tcW w:w="630" w:type="dxa"/>
            <w:gridSpan w:val="4"/>
            <w:tcBorders>
              <w:top w:val="single" w:sz="6" w:space="0" w:color="auto"/>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(5 909.1)</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(5 323.4)</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(5 439.3)</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(2 742.3)</w:t>
            </w:r>
          </w:p>
        </w:tc>
        <w:tc>
          <w:tcPr>
            <w:tcW w:w="918" w:type="dxa"/>
            <w:tcBorders>
              <w:top w:val="single" w:sz="6" w:space="0" w:color="auto"/>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(3 845.9)</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Cash flows from financing activities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Net borrowings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3 359.0</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2 787.4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2 279.9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(1 580.4)</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( 964.3)</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Deposits received (net)</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xml:space="preserve"> 6.8</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( 0.2)</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Pr>
                <w:rFonts w:eastAsiaTheme="minorEastAsia"/>
                <w:sz w:val="19"/>
                <w:lang w:eastAsia="en-AU"/>
              </w:rPr>
              <w:t>..</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Pr>
                <w:rFonts w:eastAsiaTheme="minorEastAsia"/>
                <w:sz w:val="19"/>
                <w:lang w:eastAsia="en-AU"/>
              </w:rPr>
              <w:t>..</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Pr>
                <w:rFonts w:eastAsiaTheme="minorEastAsia"/>
                <w:sz w:val="19"/>
                <w:lang w:eastAsia="en-AU"/>
              </w:rPr>
              <w:t>..</w:t>
            </w:r>
          </w:p>
        </w:tc>
      </w:tr>
      <w:tr w:rsidR="00F60B5F" w:rsidRPr="00820AF8" w:rsidTr="00820AF8">
        <w:tc>
          <w:tcPr>
            <w:tcW w:w="2537" w:type="dxa"/>
            <w:tcBorders>
              <w:top w:val="single" w:sz="6" w:space="0" w:color="auto"/>
              <w:left w:val="nil"/>
              <w:bottom w:val="single" w:sz="6" w:space="0" w:color="auto"/>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Net cash flows from financing activities</w:t>
            </w:r>
          </w:p>
        </w:tc>
        <w:tc>
          <w:tcPr>
            <w:tcW w:w="630" w:type="dxa"/>
            <w:gridSpan w:val="4"/>
            <w:tcBorders>
              <w:top w:val="single" w:sz="6" w:space="0" w:color="auto"/>
              <w:left w:val="nil"/>
              <w:bottom w:val="single" w:sz="6" w:space="0" w:color="auto"/>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single" w:sz="6" w:space="0" w:color="auto"/>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3 365.7</w:t>
            </w:r>
          </w:p>
        </w:tc>
        <w:tc>
          <w:tcPr>
            <w:tcW w:w="918" w:type="dxa"/>
            <w:tcBorders>
              <w:top w:val="single" w:sz="6" w:space="0" w:color="auto"/>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2 787.2</w:t>
            </w:r>
          </w:p>
        </w:tc>
        <w:tc>
          <w:tcPr>
            <w:tcW w:w="918" w:type="dxa"/>
            <w:tcBorders>
              <w:top w:val="single" w:sz="6" w:space="0" w:color="auto"/>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2 279.9</w:t>
            </w:r>
          </w:p>
        </w:tc>
        <w:tc>
          <w:tcPr>
            <w:tcW w:w="918" w:type="dxa"/>
            <w:tcBorders>
              <w:top w:val="single" w:sz="6" w:space="0" w:color="auto"/>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(1 580.4)</w:t>
            </w:r>
          </w:p>
        </w:tc>
        <w:tc>
          <w:tcPr>
            <w:tcW w:w="918" w:type="dxa"/>
            <w:tcBorders>
              <w:top w:val="single" w:sz="6" w:space="0" w:color="auto"/>
              <w:left w:val="nil"/>
              <w:bottom w:val="single" w:sz="6"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( 964.3)</w:t>
            </w:r>
          </w:p>
        </w:tc>
      </w:tr>
      <w:tr w:rsidR="00F60B5F" w:rsidRPr="00820AF8" w:rsidTr="00356413">
        <w:trPr>
          <w:cantSplit/>
        </w:trPr>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Net increase/(decrease) in cash and cash equivalents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188.2</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37.0</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207.9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325.1</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358.7</w:t>
            </w: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6F65E0">
            <w:pPr>
              <w:pStyle w:val="Tabletext"/>
              <w:keepNext/>
              <w:ind w:left="187" w:hanging="187"/>
              <w:rPr>
                <w:rFonts w:eastAsiaTheme="minorEastAsia"/>
                <w:sz w:val="19"/>
                <w:lang w:eastAsia="en-AU"/>
              </w:rPr>
            </w:pPr>
            <w:r w:rsidRPr="00820AF8">
              <w:rPr>
                <w:rFonts w:eastAsiaTheme="minorEastAsia"/>
                <w:sz w:val="19"/>
                <w:lang w:eastAsia="en-AU"/>
              </w:rPr>
              <w:t>Cash and cash equivalents at beginning of reporting period</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3 962.0</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3 962.0</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3 998.9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4 206.9</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4 532.0</w:t>
            </w:r>
          </w:p>
        </w:tc>
      </w:tr>
      <w:tr w:rsidR="00F60B5F" w:rsidRPr="00820AF8" w:rsidTr="00820AF8">
        <w:tc>
          <w:tcPr>
            <w:tcW w:w="2537" w:type="dxa"/>
            <w:tcBorders>
              <w:top w:val="single" w:sz="6" w:space="0" w:color="auto"/>
              <w:left w:val="nil"/>
              <w:bottom w:val="single" w:sz="12" w:space="0" w:color="auto"/>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Cash and cash equivalents at end of reporting period</w:t>
            </w:r>
          </w:p>
        </w:tc>
        <w:tc>
          <w:tcPr>
            <w:tcW w:w="630" w:type="dxa"/>
            <w:gridSpan w:val="4"/>
            <w:tcBorders>
              <w:top w:val="single" w:sz="6" w:space="0" w:color="auto"/>
              <w:left w:val="nil"/>
              <w:bottom w:val="single" w:sz="12" w:space="0" w:color="auto"/>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single" w:sz="6" w:space="0" w:color="auto"/>
              <w:left w:val="nil"/>
              <w:bottom w:val="single" w:sz="12"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4 150.2</w:t>
            </w:r>
          </w:p>
        </w:tc>
        <w:tc>
          <w:tcPr>
            <w:tcW w:w="918" w:type="dxa"/>
            <w:tcBorders>
              <w:top w:val="nil"/>
              <w:left w:val="nil"/>
              <w:bottom w:val="single" w:sz="12" w:space="0" w:color="auto"/>
              <w:right w:val="nil"/>
            </w:tcBorders>
            <w:shd w:val="clear" w:color="auto" w:fill="auto"/>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3 998.9</w:t>
            </w:r>
          </w:p>
        </w:tc>
        <w:tc>
          <w:tcPr>
            <w:tcW w:w="918" w:type="dxa"/>
            <w:tcBorders>
              <w:top w:val="single" w:sz="6" w:space="0" w:color="auto"/>
              <w:left w:val="nil"/>
              <w:bottom w:val="single" w:sz="12"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4 206.9</w:t>
            </w:r>
          </w:p>
        </w:tc>
        <w:tc>
          <w:tcPr>
            <w:tcW w:w="918" w:type="dxa"/>
            <w:tcBorders>
              <w:top w:val="single" w:sz="6" w:space="0" w:color="auto"/>
              <w:left w:val="nil"/>
              <w:bottom w:val="single" w:sz="12"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4 532.0</w:t>
            </w:r>
          </w:p>
        </w:tc>
        <w:tc>
          <w:tcPr>
            <w:tcW w:w="918" w:type="dxa"/>
            <w:tcBorders>
              <w:top w:val="single" w:sz="6" w:space="0" w:color="auto"/>
              <w:left w:val="nil"/>
              <w:bottom w:val="single" w:sz="12" w:space="0" w:color="auto"/>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4 890.7</w:t>
            </w:r>
          </w:p>
        </w:tc>
      </w:tr>
      <w:tr w:rsidR="00F60B5F" w:rsidRPr="00820AF8" w:rsidTr="00820AF8">
        <w:trPr>
          <w:trHeight w:hRule="exact" w:val="120"/>
        </w:trPr>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 xml:space="preserve">   </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FISCAL AGGREGATES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b/>
                <w:bCs/>
                <w:sz w:val="19"/>
                <w:lang w:eastAsia="en-AU"/>
              </w:rPr>
            </w:pPr>
          </w:p>
        </w:tc>
      </w:tr>
      <w:tr w:rsidR="00F60B5F" w:rsidRPr="00820AF8" w:rsidTr="00820AF8">
        <w:tc>
          <w:tcPr>
            <w:tcW w:w="2537" w:type="dxa"/>
            <w:tcBorders>
              <w:top w:val="nil"/>
              <w:left w:val="nil"/>
              <w:bottom w:val="nil"/>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Net cash flows from operating activities</w:t>
            </w:r>
          </w:p>
        </w:tc>
        <w:tc>
          <w:tcPr>
            <w:tcW w:w="630" w:type="dxa"/>
            <w:gridSpan w:val="4"/>
            <w:tcBorders>
              <w:top w:val="nil"/>
              <w:left w:val="nil"/>
              <w:bottom w:val="nil"/>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2 731.6</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2 573.2</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3 367.3</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4 647.8</w:t>
            </w:r>
          </w:p>
        </w:tc>
        <w:tc>
          <w:tcPr>
            <w:tcW w:w="918" w:type="dxa"/>
            <w:tcBorders>
              <w:top w:val="nil"/>
              <w:left w:val="nil"/>
              <w:bottom w:val="nil"/>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5 168.9</w:t>
            </w:r>
          </w:p>
        </w:tc>
      </w:tr>
      <w:tr w:rsidR="00F60B5F" w:rsidRPr="00820AF8" w:rsidTr="00550D6F">
        <w:tc>
          <w:tcPr>
            <w:tcW w:w="2627" w:type="dxa"/>
            <w:gridSpan w:val="2"/>
            <w:tcBorders>
              <w:top w:val="nil"/>
              <w:left w:val="nil"/>
              <w:bottom w:val="single" w:sz="6" w:space="0" w:color="auto"/>
              <w:right w:val="nil"/>
            </w:tcBorders>
            <w:shd w:val="clear" w:color="auto" w:fill="auto"/>
          </w:tcPr>
          <w:p w:rsidR="00F60B5F" w:rsidRPr="00820AF8" w:rsidRDefault="00F60B5F" w:rsidP="00820AF8">
            <w:pPr>
              <w:pStyle w:val="Tabletext"/>
              <w:rPr>
                <w:rFonts w:eastAsiaTheme="minorEastAsia"/>
                <w:sz w:val="19"/>
                <w:lang w:eastAsia="en-AU"/>
              </w:rPr>
            </w:pPr>
            <w:r w:rsidRPr="00820AF8">
              <w:rPr>
                <w:rFonts w:eastAsiaTheme="minorEastAsia"/>
                <w:sz w:val="19"/>
                <w:lang w:eastAsia="en-AU"/>
              </w:rPr>
              <w:t>Net cash flows from investments in non</w:t>
            </w:r>
            <w:r>
              <w:rPr>
                <w:rFonts w:eastAsiaTheme="minorEastAsia"/>
                <w:sz w:val="19"/>
                <w:lang w:eastAsia="en-AU"/>
              </w:rPr>
              <w:noBreakHyphen/>
            </w:r>
            <w:r w:rsidRPr="00820AF8">
              <w:rPr>
                <w:rFonts w:eastAsiaTheme="minorEastAsia"/>
                <w:sz w:val="19"/>
                <w:lang w:eastAsia="en-AU"/>
              </w:rPr>
              <w:t>financial assets</w:t>
            </w:r>
          </w:p>
        </w:tc>
        <w:tc>
          <w:tcPr>
            <w:tcW w:w="540" w:type="dxa"/>
            <w:gridSpan w:val="3"/>
            <w:tcBorders>
              <w:top w:val="nil"/>
              <w:left w:val="nil"/>
              <w:bottom w:val="single" w:sz="6" w:space="0" w:color="auto"/>
              <w:right w:val="nil"/>
            </w:tcBorders>
            <w:shd w:val="clear" w:color="auto" w:fill="auto"/>
          </w:tcPr>
          <w:p w:rsidR="00F60B5F" w:rsidRPr="00820AF8" w:rsidRDefault="00F60B5F" w:rsidP="00820AF8">
            <w:pPr>
              <w:pStyle w:val="TableofFigures"/>
              <w:jc w:val="center"/>
              <w:rPr>
                <w:rFonts w:eastAsiaTheme="minorEastAsia"/>
                <w:sz w:val="19"/>
                <w:lang w:eastAsia="en-AU"/>
              </w:rPr>
            </w:pPr>
            <w:r w:rsidRPr="00820AF8">
              <w:rPr>
                <w:rFonts w:eastAsiaTheme="minorEastAsia"/>
                <w:sz w:val="19"/>
                <w:lang w:eastAsia="en-AU"/>
              </w:rPr>
              <w:t xml:space="preserve"> </w:t>
            </w:r>
          </w:p>
        </w:tc>
        <w:tc>
          <w:tcPr>
            <w:tcW w:w="918" w:type="dxa"/>
            <w:gridSpan w:val="2"/>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(4 448.7)</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(3 777.5)</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(3 970.1)</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(2 611.0)</w:t>
            </w:r>
          </w:p>
        </w:tc>
        <w:tc>
          <w:tcPr>
            <w:tcW w:w="918" w:type="dxa"/>
            <w:tcBorders>
              <w:top w:val="nil"/>
              <w:left w:val="nil"/>
              <w:bottom w:val="single" w:sz="6" w:space="0" w:color="auto"/>
              <w:right w:val="nil"/>
            </w:tcBorders>
            <w:shd w:val="clear" w:color="auto" w:fill="auto"/>
          </w:tcPr>
          <w:p w:rsidR="00F60B5F" w:rsidRPr="00820AF8" w:rsidRDefault="00F60B5F" w:rsidP="00820AF8">
            <w:pPr>
              <w:pStyle w:val="TableofFigures"/>
              <w:rPr>
                <w:rFonts w:eastAsiaTheme="minorEastAsia"/>
                <w:sz w:val="19"/>
                <w:lang w:eastAsia="en-AU"/>
              </w:rPr>
            </w:pPr>
            <w:r w:rsidRPr="00820AF8">
              <w:rPr>
                <w:rFonts w:eastAsiaTheme="minorEastAsia"/>
                <w:sz w:val="19"/>
                <w:lang w:eastAsia="en-AU"/>
              </w:rPr>
              <w:t>(3 666.0)</w:t>
            </w:r>
          </w:p>
        </w:tc>
      </w:tr>
      <w:tr w:rsidR="00F60B5F" w:rsidRPr="00820AF8" w:rsidTr="00820AF8">
        <w:tc>
          <w:tcPr>
            <w:tcW w:w="2537"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sz w:val="19"/>
                <w:lang w:eastAsia="en-AU"/>
              </w:rPr>
            </w:pPr>
            <w:r w:rsidRPr="00820AF8">
              <w:rPr>
                <w:rFonts w:eastAsiaTheme="minorEastAsia"/>
                <w:b/>
                <w:bCs/>
                <w:sz w:val="19"/>
                <w:lang w:eastAsia="en-AU"/>
              </w:rPr>
              <w:t>Cash surplus/(deficit)</w:t>
            </w:r>
          </w:p>
        </w:tc>
        <w:tc>
          <w:tcPr>
            <w:tcW w:w="630" w:type="dxa"/>
            <w:gridSpan w:val="4"/>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jc w:val="center"/>
              <w:rPr>
                <w:rFonts w:eastAsiaTheme="minorEastAsia"/>
                <w:b/>
                <w:bCs/>
                <w:sz w:val="19"/>
                <w:lang w:eastAsia="en-AU"/>
              </w:rPr>
            </w:pPr>
            <w:r w:rsidRPr="00820AF8">
              <w:rPr>
                <w:rFonts w:eastAsiaTheme="minorEastAsia"/>
                <w:b/>
                <w:bCs/>
                <w:sz w:val="19"/>
                <w:lang w:eastAsia="en-AU"/>
              </w:rPr>
              <w:t xml:space="preserve"> </w:t>
            </w:r>
          </w:p>
        </w:tc>
        <w:tc>
          <w:tcPr>
            <w:tcW w:w="918" w:type="dxa"/>
            <w:gridSpan w:val="2"/>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(1 717.1)</w:t>
            </w:r>
          </w:p>
        </w:tc>
        <w:tc>
          <w:tcPr>
            <w:tcW w:w="918"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(1 204.3)</w:t>
            </w:r>
          </w:p>
        </w:tc>
        <w:tc>
          <w:tcPr>
            <w:tcW w:w="918"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( 602.8)</w:t>
            </w:r>
          </w:p>
        </w:tc>
        <w:tc>
          <w:tcPr>
            <w:tcW w:w="918"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2 036.8</w:t>
            </w:r>
          </w:p>
        </w:tc>
        <w:tc>
          <w:tcPr>
            <w:tcW w:w="918"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1 502.9</w:t>
            </w:r>
          </w:p>
        </w:tc>
      </w:tr>
    </w:tbl>
    <w:p w:rsidR="00F60B5F" w:rsidRDefault="00F60B5F" w:rsidP="000C16AB">
      <w:pPr>
        <w:pStyle w:val="Source"/>
      </w:pPr>
      <w:r w:rsidRPr="00B56B1C">
        <w:t xml:space="preserve">The accompanying notes form part of these </w:t>
      </w:r>
      <w:r>
        <w:t>estimated financial statements.</w:t>
      </w:r>
    </w:p>
    <w:p w:rsidR="00F60B5F" w:rsidRPr="00B56B1C" w:rsidRDefault="00F60B5F" w:rsidP="000C16AB">
      <w:pPr>
        <w:pStyle w:val="Notes"/>
      </w:pPr>
      <w:r w:rsidRPr="00B56B1C">
        <w:t>Note:</w:t>
      </w:r>
    </w:p>
    <w:p w:rsidR="00F60B5F" w:rsidRPr="00B56B1C" w:rsidRDefault="00F60B5F" w:rsidP="000C16AB">
      <w:pPr>
        <w:pStyle w:val="Notes"/>
      </w:pPr>
      <w:r w:rsidRPr="00B56B1C">
        <w:t>(a)</w:t>
      </w:r>
      <w:r w:rsidRPr="00B56B1C">
        <w:tab/>
      </w:r>
      <w:r>
        <w:t>These items are inclusive of goods and services tax</w:t>
      </w:r>
      <w:r w:rsidRPr="00B56B1C">
        <w:t>.</w:t>
      </w:r>
    </w:p>
    <w:p w:rsidR="00F60B5F" w:rsidRPr="00B56B1C" w:rsidRDefault="00F60B5F" w:rsidP="000C16AB"/>
    <w:p w:rsidR="00F60B5F" w:rsidRPr="000C16AB" w:rsidRDefault="00F60B5F" w:rsidP="000C16AB"/>
    <w:p w:rsidR="00F60B5F" w:rsidRPr="00B56B1C" w:rsidRDefault="00F60B5F">
      <w:pPr>
        <w:spacing w:after="0"/>
        <w:rPr>
          <w:rFonts w:ascii="Calibri" w:hAnsi="Calibri"/>
          <w:b/>
        </w:rPr>
      </w:pPr>
      <w:r w:rsidRPr="00B56B1C">
        <w:br w:type="page"/>
      </w:r>
    </w:p>
    <w:p w:rsidR="00F60B5F" w:rsidRPr="00B56B1C" w:rsidRDefault="00F60B5F" w:rsidP="000223B9">
      <w:pPr>
        <w:pStyle w:val="Tableheading"/>
      </w:pPr>
      <w:r w:rsidRPr="00B56B1C">
        <w:t>Table 5.5:</w:t>
      </w:r>
      <w:r w:rsidRPr="00B56B1C">
        <w:tab/>
        <w:t>Estimated consolidated statement of changes in equity for the financial year ending 30 June</w:t>
      </w:r>
    </w:p>
    <w:p w:rsidR="00F60B5F" w:rsidRDefault="00F60B5F" w:rsidP="00820AF8">
      <w:pPr>
        <w:pStyle w:val="million"/>
        <w:rPr>
          <w:rFonts w:ascii="Times New Roman" w:hAnsi="Times New Roman"/>
          <w:sz w:val="20"/>
          <w:lang w:eastAsia="en-AU"/>
        </w:rPr>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4553"/>
        <w:gridCol w:w="1603"/>
        <w:gridCol w:w="1604"/>
      </w:tblGrid>
      <w:tr w:rsidR="00F60B5F" w:rsidRPr="00820AF8" w:rsidTr="00820AF8">
        <w:tc>
          <w:tcPr>
            <w:tcW w:w="4553" w:type="dxa"/>
            <w:tcBorders>
              <w:top w:val="single" w:sz="6" w:space="0" w:color="000000"/>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 xml:space="preserve"> </w:t>
            </w:r>
          </w:p>
        </w:tc>
        <w:tc>
          <w:tcPr>
            <w:tcW w:w="1603" w:type="dxa"/>
            <w:tcBorders>
              <w:top w:val="single" w:sz="6" w:space="0" w:color="000000"/>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p>
          <w:p w:rsidR="00F60B5F" w:rsidRPr="00820AF8" w:rsidRDefault="00F60B5F" w:rsidP="00820AF8">
            <w:pPr>
              <w:pStyle w:val="Tabletextheading"/>
              <w:rPr>
                <w:rFonts w:eastAsiaTheme="minorEastAsia"/>
                <w:lang w:eastAsia="en-AU"/>
              </w:rPr>
            </w:pPr>
            <w:r w:rsidRPr="00820AF8">
              <w:rPr>
                <w:rFonts w:eastAsiaTheme="minorEastAsia"/>
                <w:lang w:eastAsia="en-AU"/>
              </w:rPr>
              <w:t>Accumulated surplus/(deficit)</w:t>
            </w:r>
          </w:p>
        </w:tc>
        <w:tc>
          <w:tcPr>
            <w:tcW w:w="1604" w:type="dxa"/>
            <w:tcBorders>
              <w:top w:val="single" w:sz="6" w:space="0" w:color="000000"/>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lang w:eastAsia="en-AU"/>
              </w:rPr>
            </w:pPr>
          </w:p>
          <w:p w:rsidR="00F60B5F" w:rsidRPr="00820AF8" w:rsidRDefault="00F60B5F" w:rsidP="00820AF8">
            <w:pPr>
              <w:pStyle w:val="Tabletextheading"/>
              <w:rPr>
                <w:rFonts w:eastAsiaTheme="minorEastAsia"/>
                <w:lang w:eastAsia="en-AU"/>
              </w:rPr>
            </w:pPr>
            <w:r w:rsidRPr="00820AF8">
              <w:rPr>
                <w:rFonts w:eastAsiaTheme="minorEastAsia"/>
                <w:lang w:eastAsia="en-AU"/>
              </w:rPr>
              <w:t>Non</w:t>
            </w:r>
            <w:r>
              <w:rPr>
                <w:rFonts w:eastAsiaTheme="minorEastAsia"/>
                <w:lang w:eastAsia="en-AU"/>
              </w:rPr>
              <w:noBreakHyphen/>
            </w:r>
            <w:r w:rsidRPr="00820AF8">
              <w:rPr>
                <w:rFonts w:eastAsiaTheme="minorEastAsia"/>
                <w:lang w:eastAsia="en-AU"/>
              </w:rPr>
              <w:t>controlling Interest</w:t>
            </w:r>
          </w:p>
        </w:tc>
      </w:tr>
      <w:tr w:rsidR="00F60B5F" w:rsidRPr="00820AF8" w:rsidTr="00820AF8">
        <w:tc>
          <w:tcPr>
            <w:tcW w:w="4553" w:type="dxa"/>
            <w:tcBorders>
              <w:top w:val="single" w:sz="6" w:space="0" w:color="000000"/>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2013</w:t>
            </w:r>
            <w:r>
              <w:rPr>
                <w:rFonts w:eastAsiaTheme="minorEastAsia"/>
                <w:b/>
                <w:bCs/>
                <w:lang w:eastAsia="en-AU"/>
              </w:rPr>
              <w:noBreakHyphen/>
            </w:r>
            <w:r w:rsidRPr="00820AF8">
              <w:rPr>
                <w:rFonts w:eastAsiaTheme="minorEastAsia"/>
                <w:b/>
                <w:bCs/>
                <w:lang w:eastAsia="en-AU"/>
              </w:rPr>
              <w:t>14 Budget</w:t>
            </w:r>
          </w:p>
        </w:tc>
        <w:tc>
          <w:tcPr>
            <w:tcW w:w="1603" w:type="dxa"/>
            <w:tcBorders>
              <w:top w:val="single" w:sz="6" w:space="0" w:color="000000"/>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604" w:type="dxa"/>
            <w:tcBorders>
              <w:top w:val="single" w:sz="6" w:space="0" w:color="000000"/>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Balance at 1 July 2013</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43 174.7</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Net result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( 39.6)</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 comprehensive income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584.4</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Transactions with owners in their capacity as owners</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single" w:sz="6" w:space="0" w:color="auto"/>
              <w:left w:val="nil"/>
              <w:bottom w:val="single" w:sz="12" w:space="0" w:color="auto"/>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43 719.6</w:t>
            </w:r>
          </w:p>
        </w:tc>
        <w:tc>
          <w:tcPr>
            <w:tcW w:w="1604"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2013</w:t>
            </w:r>
            <w:r>
              <w:rPr>
                <w:rFonts w:eastAsiaTheme="minorEastAsia"/>
                <w:b/>
                <w:bCs/>
                <w:lang w:eastAsia="en-AU"/>
              </w:rPr>
              <w:noBreakHyphen/>
            </w:r>
            <w:r w:rsidRPr="00820AF8">
              <w:rPr>
                <w:rFonts w:eastAsiaTheme="minorEastAsia"/>
                <w:b/>
                <w:bCs/>
                <w:lang w:eastAsia="en-AU"/>
              </w:rPr>
              <w:t>14 Revised</w:t>
            </w:r>
          </w:p>
        </w:tc>
        <w:tc>
          <w:tcPr>
            <w:tcW w:w="1603"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60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Balance at 1 July 2013</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43 174.7</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Net result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58.1</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 comprehensive income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1 835.8</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Transactions with owners in their capacity as owners</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single" w:sz="6" w:space="0" w:color="auto"/>
              <w:left w:val="nil"/>
              <w:bottom w:val="single" w:sz="12" w:space="0" w:color="auto"/>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45 068.6</w:t>
            </w:r>
          </w:p>
        </w:tc>
        <w:tc>
          <w:tcPr>
            <w:tcW w:w="1604"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2014</w:t>
            </w:r>
            <w:r>
              <w:rPr>
                <w:rFonts w:eastAsiaTheme="minorEastAsia"/>
                <w:b/>
                <w:bCs/>
                <w:lang w:eastAsia="en-AU"/>
              </w:rPr>
              <w:noBreakHyphen/>
            </w:r>
            <w:r w:rsidRPr="00820AF8">
              <w:rPr>
                <w:rFonts w:eastAsiaTheme="minorEastAsia"/>
                <w:b/>
                <w:bCs/>
                <w:lang w:eastAsia="en-AU"/>
              </w:rPr>
              <w:t>15 Estimate</w:t>
            </w:r>
          </w:p>
        </w:tc>
        <w:tc>
          <w:tcPr>
            <w:tcW w:w="1603"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60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Balance at 1 July 2014</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45 068.6</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Net result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730.6</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 comprehensive income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119.2</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Transactions with owners in their capacity as owners</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single" w:sz="6" w:space="0" w:color="auto"/>
              <w:left w:val="nil"/>
              <w:bottom w:val="single" w:sz="12" w:space="0" w:color="auto"/>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45 918.4</w:t>
            </w:r>
          </w:p>
        </w:tc>
        <w:tc>
          <w:tcPr>
            <w:tcW w:w="1604"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2015</w:t>
            </w:r>
            <w:r>
              <w:rPr>
                <w:rFonts w:eastAsiaTheme="minorEastAsia"/>
                <w:b/>
                <w:bCs/>
                <w:lang w:eastAsia="en-AU"/>
              </w:rPr>
              <w:noBreakHyphen/>
            </w:r>
            <w:r w:rsidRPr="00820AF8">
              <w:rPr>
                <w:rFonts w:eastAsiaTheme="minorEastAsia"/>
                <w:b/>
                <w:bCs/>
                <w:lang w:eastAsia="en-AU"/>
              </w:rPr>
              <w:t>16 Estimate</w:t>
            </w:r>
          </w:p>
        </w:tc>
        <w:tc>
          <w:tcPr>
            <w:tcW w:w="1603"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60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Balance at 1 July 2015</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45 918.4</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Net result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1 829.4</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 comprehensive income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561.0</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Transactions with owners in their capacity as owners</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single" w:sz="6" w:space="0" w:color="auto"/>
              <w:left w:val="nil"/>
              <w:bottom w:val="single" w:sz="12" w:space="0" w:color="auto"/>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48 308.8</w:t>
            </w:r>
          </w:p>
        </w:tc>
        <w:tc>
          <w:tcPr>
            <w:tcW w:w="1604"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2016</w:t>
            </w:r>
            <w:r>
              <w:rPr>
                <w:rFonts w:eastAsiaTheme="minorEastAsia"/>
                <w:b/>
                <w:bCs/>
                <w:lang w:eastAsia="en-AU"/>
              </w:rPr>
              <w:noBreakHyphen/>
            </w:r>
            <w:r w:rsidRPr="00820AF8">
              <w:rPr>
                <w:rFonts w:eastAsiaTheme="minorEastAsia"/>
                <w:b/>
                <w:bCs/>
                <w:lang w:eastAsia="en-AU"/>
              </w:rPr>
              <w:t>17 Estimate</w:t>
            </w:r>
          </w:p>
        </w:tc>
        <w:tc>
          <w:tcPr>
            <w:tcW w:w="1603"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60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Balance at 1 July 2016</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48 308.8</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50.0</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Net result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2 495.9</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 comprehensive income for the year</w:t>
            </w:r>
          </w:p>
        </w:tc>
        <w:tc>
          <w:tcPr>
            <w:tcW w:w="1603"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569.8</w:t>
            </w:r>
          </w:p>
        </w:tc>
        <w:tc>
          <w:tcPr>
            <w:tcW w:w="160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4553"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Transactions with owners in their capacity as owners</w:t>
            </w:r>
          </w:p>
        </w:tc>
        <w:tc>
          <w:tcPr>
            <w:tcW w:w="1603"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604"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r>
      <w:tr w:rsidR="00F60B5F" w:rsidRPr="00820AF8" w:rsidTr="00820AF8">
        <w:tc>
          <w:tcPr>
            <w:tcW w:w="4553"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equity at end of period</w:t>
            </w:r>
          </w:p>
        </w:tc>
        <w:tc>
          <w:tcPr>
            <w:tcW w:w="1603"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51 374.5</w:t>
            </w:r>
          </w:p>
        </w:tc>
        <w:tc>
          <w:tcPr>
            <w:tcW w:w="160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50.0</w:t>
            </w:r>
          </w:p>
        </w:tc>
      </w:tr>
    </w:tbl>
    <w:p w:rsidR="00F60B5F" w:rsidRPr="00B56B1C" w:rsidRDefault="00F60B5F" w:rsidP="000223B9"/>
    <w:p w:rsidR="00F60B5F" w:rsidRPr="00B56B1C" w:rsidRDefault="00F60B5F">
      <w:pPr>
        <w:spacing w:after="0"/>
      </w:pPr>
      <w:r w:rsidRPr="00B56B1C">
        <w:br w:type="page"/>
      </w:r>
    </w:p>
    <w:p w:rsidR="00F60B5F" w:rsidRPr="00B56B1C" w:rsidRDefault="00F60B5F" w:rsidP="004E59CD">
      <w:pPr>
        <w:pStyle w:val="Tableheading"/>
      </w:pPr>
      <w:r w:rsidRPr="00B56B1C">
        <w:br/>
      </w:r>
    </w:p>
    <w:p w:rsidR="00F60B5F" w:rsidRDefault="00F60B5F" w:rsidP="00820AF8">
      <w:pPr>
        <w:pStyle w:val="million"/>
        <w:rPr>
          <w:rFonts w:ascii="Times New Roman" w:hAnsi="Times New Roman"/>
          <w:sz w:val="20"/>
          <w:lang w:eastAsia="en-AU"/>
        </w:rPr>
      </w:pPr>
    </w:p>
    <w:tbl>
      <w:tblPr>
        <w:tblW w:w="7760" w:type="dxa"/>
        <w:tblInd w:w="28" w:type="dxa"/>
        <w:tblLayout w:type="fixed"/>
        <w:tblCellMar>
          <w:left w:w="45" w:type="dxa"/>
          <w:right w:w="45" w:type="dxa"/>
        </w:tblCellMar>
        <w:tblLook w:val="0000" w:firstRow="0" w:lastRow="0" w:firstColumn="0" w:lastColumn="0" w:noHBand="0" w:noVBand="0"/>
      </w:tblPr>
      <w:tblGrid>
        <w:gridCol w:w="2711"/>
        <w:gridCol w:w="2126"/>
        <w:gridCol w:w="1559"/>
        <w:gridCol w:w="1364"/>
      </w:tblGrid>
      <w:tr w:rsidR="00F60B5F" w:rsidRPr="00820AF8" w:rsidTr="00820AF8">
        <w:tc>
          <w:tcPr>
            <w:tcW w:w="2711" w:type="dxa"/>
            <w:tcBorders>
              <w:top w:val="single" w:sz="6" w:space="0" w:color="000000"/>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Land, buildings, infrastructure, plant and equipment revaluation surplus</w:t>
            </w:r>
          </w:p>
        </w:tc>
        <w:tc>
          <w:tcPr>
            <w:tcW w:w="2126" w:type="dxa"/>
            <w:tcBorders>
              <w:top w:val="single" w:sz="6" w:space="0" w:color="000000"/>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Investment in other sector entities revaluation surplus</w:t>
            </w:r>
          </w:p>
        </w:tc>
        <w:tc>
          <w:tcPr>
            <w:tcW w:w="1559" w:type="dxa"/>
            <w:tcBorders>
              <w:top w:val="single" w:sz="6" w:space="0" w:color="000000"/>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p>
          <w:p w:rsidR="00F60B5F" w:rsidRPr="00820AF8" w:rsidRDefault="00F60B5F" w:rsidP="00820AF8">
            <w:pPr>
              <w:pStyle w:val="Tabletextheading"/>
              <w:rPr>
                <w:rFonts w:eastAsiaTheme="minorEastAsia"/>
                <w:lang w:eastAsia="en-AU"/>
              </w:rPr>
            </w:pPr>
          </w:p>
          <w:p w:rsidR="00F60B5F" w:rsidRPr="00820AF8" w:rsidRDefault="00F60B5F" w:rsidP="00820AF8">
            <w:pPr>
              <w:pStyle w:val="Tabletextheading"/>
              <w:rPr>
                <w:rFonts w:eastAsiaTheme="minorEastAsia"/>
                <w:lang w:eastAsia="en-AU"/>
              </w:rPr>
            </w:pPr>
            <w:r w:rsidRPr="00820AF8">
              <w:rPr>
                <w:rFonts w:eastAsiaTheme="minorEastAsia"/>
                <w:lang w:eastAsia="en-AU"/>
              </w:rPr>
              <w:t>Other reserves</w:t>
            </w:r>
          </w:p>
        </w:tc>
        <w:tc>
          <w:tcPr>
            <w:tcW w:w="1364" w:type="dxa"/>
            <w:tcBorders>
              <w:top w:val="single" w:sz="6" w:space="0" w:color="000000"/>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lang w:eastAsia="en-AU"/>
              </w:rPr>
            </w:pPr>
          </w:p>
          <w:p w:rsidR="00F60B5F" w:rsidRPr="00820AF8" w:rsidRDefault="00F60B5F" w:rsidP="00820AF8">
            <w:pPr>
              <w:pStyle w:val="Tabletextheading"/>
              <w:rPr>
                <w:rFonts w:eastAsiaTheme="minorEastAsia"/>
                <w:lang w:eastAsia="en-AU"/>
              </w:rPr>
            </w:pPr>
          </w:p>
          <w:p w:rsidR="00F60B5F" w:rsidRPr="00820AF8" w:rsidRDefault="00F60B5F" w:rsidP="00820AF8">
            <w:pPr>
              <w:pStyle w:val="Tabletextheading"/>
              <w:rPr>
                <w:rFonts w:eastAsiaTheme="minorEastAsia"/>
                <w:lang w:eastAsia="en-AU"/>
              </w:rPr>
            </w:pPr>
            <w:r w:rsidRPr="00820AF8">
              <w:rPr>
                <w:rFonts w:eastAsiaTheme="minorEastAsia"/>
                <w:lang w:eastAsia="en-AU"/>
              </w:rPr>
              <w:t>Total</w:t>
            </w:r>
          </w:p>
        </w:tc>
      </w:tr>
      <w:tr w:rsidR="00F60B5F" w:rsidRPr="00820AF8" w:rsidTr="00820AF8">
        <w:tc>
          <w:tcPr>
            <w:tcW w:w="2711" w:type="dxa"/>
            <w:tcBorders>
              <w:top w:val="single" w:sz="6" w:space="0" w:color="000000"/>
              <w:left w:val="nil"/>
              <w:bottom w:val="nil"/>
              <w:right w:val="nil"/>
            </w:tcBorders>
          </w:tcPr>
          <w:p w:rsidR="00F60B5F" w:rsidRPr="00820AF8" w:rsidRDefault="00F60B5F" w:rsidP="00820AF8">
            <w:pPr>
              <w:pStyle w:val="Tabletext"/>
              <w:jc w:val="right"/>
              <w:rPr>
                <w:rFonts w:eastAsiaTheme="minorEastAsia" w:cs="Calibri"/>
                <w:b/>
                <w:bCs/>
                <w:lang w:eastAsia="en-AU"/>
              </w:rPr>
            </w:pPr>
            <w:r w:rsidRPr="00820AF8">
              <w:rPr>
                <w:rFonts w:eastAsiaTheme="minorEastAsia"/>
                <w:b/>
                <w:bCs/>
                <w:lang w:eastAsia="en-AU"/>
              </w:rPr>
              <w:t xml:space="preserve">  </w:t>
            </w:r>
          </w:p>
        </w:tc>
        <w:tc>
          <w:tcPr>
            <w:tcW w:w="2126" w:type="dxa"/>
            <w:tcBorders>
              <w:top w:val="single" w:sz="6" w:space="0" w:color="000000"/>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559" w:type="dxa"/>
            <w:tcBorders>
              <w:top w:val="single" w:sz="6" w:space="0" w:color="000000"/>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364" w:type="dxa"/>
            <w:tcBorders>
              <w:top w:val="single" w:sz="6" w:space="0" w:color="000000"/>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37 663.0</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38 148.1</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921.3</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119 957.2</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( 39.6)</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3 918.0</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1 559.2</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11.9</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6 073.5</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2711" w:type="dxa"/>
            <w:tcBorders>
              <w:top w:val="single" w:sz="6" w:space="0" w:color="auto"/>
              <w:left w:val="nil"/>
              <w:bottom w:val="single" w:sz="12" w:space="0" w:color="auto"/>
              <w:right w:val="nil"/>
            </w:tcBorders>
          </w:tcPr>
          <w:p w:rsidR="00F60B5F" w:rsidRPr="00820AF8" w:rsidRDefault="00F60B5F" w:rsidP="00820AF8">
            <w:pPr>
              <w:pStyle w:val="Tabletext"/>
              <w:jc w:val="right"/>
              <w:rPr>
                <w:rFonts w:eastAsiaTheme="minorEastAsia"/>
                <w:b/>
                <w:bCs/>
                <w:lang w:eastAsia="en-AU"/>
              </w:rPr>
            </w:pPr>
            <w:r w:rsidRPr="00820AF8">
              <w:rPr>
                <w:rFonts w:eastAsiaTheme="minorEastAsia"/>
                <w:b/>
                <w:bCs/>
                <w:lang w:eastAsia="en-AU"/>
              </w:rPr>
              <w:t>41 581.0</w:t>
            </w:r>
          </w:p>
        </w:tc>
        <w:tc>
          <w:tcPr>
            <w:tcW w:w="2126"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39 707.3</w:t>
            </w:r>
          </w:p>
        </w:tc>
        <w:tc>
          <w:tcPr>
            <w:tcW w:w="1559"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933.3</w:t>
            </w:r>
          </w:p>
        </w:tc>
        <w:tc>
          <w:tcPr>
            <w:tcW w:w="1364"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125 991.2</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cs="Calibri"/>
                <w:b/>
                <w:bCs/>
                <w:lang w:eastAsia="en-AU"/>
              </w:rPr>
            </w:pPr>
            <w:r w:rsidRPr="00820AF8">
              <w:rPr>
                <w:rFonts w:eastAsiaTheme="minorEastAsia"/>
                <w:b/>
                <w:bCs/>
                <w:lang w:eastAsia="en-AU"/>
              </w:rPr>
              <w:t xml:space="preserve">  </w:t>
            </w:r>
          </w:p>
        </w:tc>
        <w:tc>
          <w:tcPr>
            <w:tcW w:w="2126"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559"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36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37 663.0</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38 148.1</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921.3</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119 957.2</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 xml:space="preserve"> </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58.1</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 xml:space="preserve"> 813.8</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1 683.9</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7.3</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4 340.7</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2711" w:type="dxa"/>
            <w:tcBorders>
              <w:top w:val="single" w:sz="6" w:space="0" w:color="auto"/>
              <w:left w:val="nil"/>
              <w:bottom w:val="single" w:sz="12" w:space="0" w:color="auto"/>
              <w:right w:val="nil"/>
            </w:tcBorders>
          </w:tcPr>
          <w:p w:rsidR="00F60B5F" w:rsidRPr="00820AF8" w:rsidRDefault="00F60B5F" w:rsidP="00820AF8">
            <w:pPr>
              <w:pStyle w:val="Tabletext"/>
              <w:jc w:val="right"/>
              <w:rPr>
                <w:rFonts w:eastAsiaTheme="minorEastAsia"/>
                <w:b/>
                <w:bCs/>
                <w:lang w:eastAsia="en-AU"/>
              </w:rPr>
            </w:pPr>
            <w:r w:rsidRPr="00820AF8">
              <w:rPr>
                <w:rFonts w:eastAsiaTheme="minorEastAsia"/>
                <w:b/>
                <w:bCs/>
                <w:lang w:eastAsia="en-AU"/>
              </w:rPr>
              <w:t>38 476.8</w:t>
            </w:r>
          </w:p>
        </w:tc>
        <w:tc>
          <w:tcPr>
            <w:tcW w:w="2126"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39 832.0</w:t>
            </w:r>
          </w:p>
        </w:tc>
        <w:tc>
          <w:tcPr>
            <w:tcW w:w="1559"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928.6</w:t>
            </w:r>
          </w:p>
        </w:tc>
        <w:tc>
          <w:tcPr>
            <w:tcW w:w="1364"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124 356.0</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cs="Calibri"/>
                <w:b/>
                <w:bCs/>
                <w:lang w:eastAsia="en-AU"/>
              </w:rPr>
            </w:pPr>
            <w:r w:rsidRPr="00820AF8">
              <w:rPr>
                <w:rFonts w:eastAsiaTheme="minorEastAsia"/>
                <w:b/>
                <w:bCs/>
                <w:lang w:eastAsia="en-AU"/>
              </w:rPr>
              <w:t xml:space="preserve">  </w:t>
            </w:r>
          </w:p>
        </w:tc>
        <w:tc>
          <w:tcPr>
            <w:tcW w:w="2126"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559"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36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38 476.8</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39 832.0</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928.6</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124 356.0</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730.6</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3 536.8</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2 626.0</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12.0</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6 294.0</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2711" w:type="dxa"/>
            <w:tcBorders>
              <w:top w:val="single" w:sz="6" w:space="0" w:color="auto"/>
              <w:left w:val="nil"/>
              <w:bottom w:val="single" w:sz="12" w:space="0" w:color="auto"/>
              <w:right w:val="nil"/>
            </w:tcBorders>
          </w:tcPr>
          <w:p w:rsidR="00F60B5F" w:rsidRPr="00820AF8" w:rsidRDefault="00F60B5F" w:rsidP="00820AF8">
            <w:pPr>
              <w:pStyle w:val="Tabletext"/>
              <w:jc w:val="right"/>
              <w:rPr>
                <w:rFonts w:eastAsiaTheme="minorEastAsia"/>
                <w:b/>
                <w:bCs/>
                <w:lang w:eastAsia="en-AU"/>
              </w:rPr>
            </w:pPr>
            <w:r w:rsidRPr="00820AF8">
              <w:rPr>
                <w:rFonts w:eastAsiaTheme="minorEastAsia"/>
                <w:b/>
                <w:bCs/>
                <w:lang w:eastAsia="en-AU"/>
              </w:rPr>
              <w:t>42 013.6</w:t>
            </w:r>
          </w:p>
        </w:tc>
        <w:tc>
          <w:tcPr>
            <w:tcW w:w="2126"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42 458.0</w:t>
            </w:r>
          </w:p>
        </w:tc>
        <w:tc>
          <w:tcPr>
            <w:tcW w:w="1559"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940.6</w:t>
            </w:r>
          </w:p>
        </w:tc>
        <w:tc>
          <w:tcPr>
            <w:tcW w:w="1364"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131 380.6</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cs="Calibri"/>
                <w:b/>
                <w:bCs/>
                <w:lang w:eastAsia="en-AU"/>
              </w:rPr>
            </w:pPr>
            <w:r w:rsidRPr="00820AF8">
              <w:rPr>
                <w:rFonts w:eastAsiaTheme="minorEastAsia"/>
                <w:b/>
                <w:bCs/>
                <w:lang w:eastAsia="en-AU"/>
              </w:rPr>
              <w:t xml:space="preserve">  </w:t>
            </w:r>
          </w:p>
        </w:tc>
        <w:tc>
          <w:tcPr>
            <w:tcW w:w="2126"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559"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36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42 013.6</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42 458.0</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940.6</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131 380.6</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1 829.4</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 xml:space="preserve"> 994.8</w:t>
            </w:r>
          </w:p>
        </w:tc>
        <w:tc>
          <w:tcPr>
            <w:tcW w:w="2126"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1 028.5</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12.1</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2 596.4</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2711" w:type="dxa"/>
            <w:tcBorders>
              <w:top w:val="single" w:sz="6" w:space="0" w:color="auto"/>
              <w:left w:val="nil"/>
              <w:bottom w:val="single" w:sz="12" w:space="0" w:color="auto"/>
              <w:right w:val="nil"/>
            </w:tcBorders>
          </w:tcPr>
          <w:p w:rsidR="00F60B5F" w:rsidRPr="00820AF8" w:rsidRDefault="00F60B5F" w:rsidP="00820AF8">
            <w:pPr>
              <w:pStyle w:val="Tabletext"/>
              <w:jc w:val="right"/>
              <w:rPr>
                <w:rFonts w:eastAsiaTheme="minorEastAsia"/>
                <w:b/>
                <w:bCs/>
                <w:lang w:eastAsia="en-AU"/>
              </w:rPr>
            </w:pPr>
            <w:r w:rsidRPr="00820AF8">
              <w:rPr>
                <w:rFonts w:eastAsiaTheme="minorEastAsia"/>
                <w:b/>
                <w:bCs/>
                <w:lang w:eastAsia="en-AU"/>
              </w:rPr>
              <w:t>43 008.4</w:t>
            </w:r>
          </w:p>
        </w:tc>
        <w:tc>
          <w:tcPr>
            <w:tcW w:w="2126"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43 486.6</w:t>
            </w:r>
          </w:p>
        </w:tc>
        <w:tc>
          <w:tcPr>
            <w:tcW w:w="1559"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952.7</w:t>
            </w:r>
          </w:p>
        </w:tc>
        <w:tc>
          <w:tcPr>
            <w:tcW w:w="1364" w:type="dxa"/>
            <w:tcBorders>
              <w:top w:val="single" w:sz="6" w:space="0" w:color="auto"/>
              <w:left w:val="nil"/>
              <w:bottom w:val="single" w:sz="12"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135 806.4</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cs="Calibri"/>
                <w:b/>
                <w:bCs/>
                <w:lang w:eastAsia="en-AU"/>
              </w:rPr>
            </w:pPr>
            <w:r w:rsidRPr="00820AF8">
              <w:rPr>
                <w:rFonts w:eastAsiaTheme="minorEastAsia"/>
                <w:b/>
                <w:bCs/>
                <w:lang w:eastAsia="en-AU"/>
              </w:rPr>
              <w:t xml:space="preserve">  </w:t>
            </w:r>
          </w:p>
        </w:tc>
        <w:tc>
          <w:tcPr>
            <w:tcW w:w="2126"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559"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c>
          <w:tcPr>
            <w:tcW w:w="136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43 008.4</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43 486.6</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952.7</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135 806.4</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2 495.9</w:t>
            </w:r>
          </w:p>
        </w:tc>
      </w:tr>
      <w:tr w:rsidR="00F60B5F" w:rsidRPr="00820AF8" w:rsidTr="00820AF8">
        <w:tc>
          <w:tcPr>
            <w:tcW w:w="2711" w:type="dxa"/>
            <w:tcBorders>
              <w:top w:val="nil"/>
              <w:left w:val="nil"/>
              <w:bottom w:val="nil"/>
              <w:right w:val="nil"/>
            </w:tcBorders>
          </w:tcPr>
          <w:p w:rsidR="00F60B5F" w:rsidRPr="00820AF8" w:rsidRDefault="00F60B5F" w:rsidP="00820AF8">
            <w:pPr>
              <w:pStyle w:val="Tabletext"/>
              <w:jc w:val="right"/>
              <w:rPr>
                <w:rFonts w:eastAsiaTheme="minorEastAsia"/>
                <w:lang w:eastAsia="en-AU"/>
              </w:rPr>
            </w:pPr>
            <w:r w:rsidRPr="00820AF8">
              <w:rPr>
                <w:rFonts w:eastAsiaTheme="minorEastAsia"/>
                <w:lang w:eastAsia="en-AU"/>
              </w:rPr>
              <w:t>1 948.6</w:t>
            </w:r>
          </w:p>
        </w:tc>
        <w:tc>
          <w:tcPr>
            <w:tcW w:w="212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( 406.2)</w:t>
            </w:r>
          </w:p>
        </w:tc>
        <w:tc>
          <w:tcPr>
            <w:tcW w:w="155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12.1</w:t>
            </w:r>
          </w:p>
        </w:tc>
        <w:tc>
          <w:tcPr>
            <w:tcW w:w="136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2 124.2</w:t>
            </w:r>
          </w:p>
        </w:tc>
      </w:tr>
      <w:tr w:rsidR="00F60B5F" w:rsidRPr="00820AF8" w:rsidTr="00820AF8">
        <w:tc>
          <w:tcPr>
            <w:tcW w:w="2711" w:type="dxa"/>
            <w:tcBorders>
              <w:top w:val="nil"/>
              <w:left w:val="nil"/>
              <w:bottom w:val="single" w:sz="6" w:space="0" w:color="auto"/>
              <w:right w:val="nil"/>
            </w:tcBorders>
          </w:tcPr>
          <w:p w:rsidR="00F60B5F" w:rsidRPr="00820AF8" w:rsidRDefault="00F60B5F" w:rsidP="00820AF8">
            <w:pPr>
              <w:pStyle w:val="Tabletext"/>
              <w:jc w:val="right"/>
              <w:rPr>
                <w:rFonts w:eastAsiaTheme="minorEastAsia" w:cs="Calibri"/>
                <w:lang w:eastAsia="en-AU"/>
              </w:rPr>
            </w:pPr>
            <w:r w:rsidRPr="00820AF8">
              <w:rPr>
                <w:rFonts w:eastAsiaTheme="minorEastAsia"/>
                <w:lang w:eastAsia="en-AU"/>
              </w:rPr>
              <w:t xml:space="preserve"> </w:t>
            </w:r>
          </w:p>
        </w:tc>
        <w:tc>
          <w:tcPr>
            <w:tcW w:w="2126"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1559"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1364"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w:t>
            </w:r>
          </w:p>
        </w:tc>
      </w:tr>
      <w:tr w:rsidR="00F60B5F" w:rsidRPr="00820AF8" w:rsidTr="00820AF8">
        <w:tc>
          <w:tcPr>
            <w:tcW w:w="2711"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jc w:val="right"/>
              <w:rPr>
                <w:rFonts w:eastAsiaTheme="minorEastAsia"/>
                <w:b/>
                <w:bCs/>
                <w:lang w:eastAsia="en-AU"/>
              </w:rPr>
            </w:pPr>
            <w:r w:rsidRPr="00820AF8">
              <w:rPr>
                <w:rFonts w:eastAsiaTheme="minorEastAsia"/>
                <w:b/>
                <w:bCs/>
                <w:lang w:eastAsia="en-AU"/>
              </w:rPr>
              <w:t>44 957.0</w:t>
            </w:r>
          </w:p>
        </w:tc>
        <w:tc>
          <w:tcPr>
            <w:tcW w:w="2126"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43 080.4</w:t>
            </w:r>
          </w:p>
        </w:tc>
        <w:tc>
          <w:tcPr>
            <w:tcW w:w="1559"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964.8</w:t>
            </w:r>
          </w:p>
        </w:tc>
        <w:tc>
          <w:tcPr>
            <w:tcW w:w="136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140 426.6</w:t>
            </w:r>
          </w:p>
        </w:tc>
      </w:tr>
    </w:tbl>
    <w:p w:rsidR="00F60B5F" w:rsidRPr="00B56B1C" w:rsidRDefault="00F60B5F">
      <w:pPr>
        <w:spacing w:after="0"/>
      </w:pPr>
    </w:p>
    <w:p w:rsidR="00F60B5F" w:rsidRPr="00B56B1C" w:rsidRDefault="00F60B5F" w:rsidP="00F16240"/>
    <w:p w:rsidR="00F60B5F" w:rsidRPr="00B56B1C" w:rsidRDefault="00F60B5F">
      <w:pPr>
        <w:spacing w:after="0"/>
        <w:rPr>
          <w:rFonts w:ascii="Calibri" w:hAnsi="Calibri"/>
          <w:b/>
          <w:caps/>
          <w:sz w:val="26"/>
          <w:szCs w:val="22"/>
        </w:rPr>
      </w:pPr>
      <w:r w:rsidRPr="00B56B1C">
        <w:br w:type="page"/>
      </w:r>
    </w:p>
    <w:p w:rsidR="00F60B5F" w:rsidRPr="00B56B1C" w:rsidRDefault="00F60B5F" w:rsidP="00F16240">
      <w:pPr>
        <w:pStyle w:val="Heading1"/>
      </w:pPr>
      <w:bookmarkStart w:id="25" w:name="_Toc374373957"/>
      <w:r w:rsidRPr="00B56B1C">
        <w:t>Notes to the financial statements</w:t>
      </w:r>
      <w:bookmarkEnd w:id="25"/>
    </w:p>
    <w:p w:rsidR="00F60B5F" w:rsidRDefault="00F60B5F">
      <w:pPr>
        <w:pStyle w:val="TOC4"/>
        <w:rPr>
          <w:rFonts w:asciiTheme="minorHAnsi" w:eastAsiaTheme="minorEastAsia" w:hAnsiTheme="minorHAnsi" w:cstheme="minorBidi"/>
          <w:sz w:val="22"/>
          <w:szCs w:val="22"/>
          <w:lang w:eastAsia="en-AU"/>
        </w:rPr>
      </w:pPr>
      <w:r w:rsidRPr="00B56B1C">
        <w:fldChar w:fldCharType="begin"/>
      </w:r>
      <w:r w:rsidRPr="00B56B1C">
        <w:instrText xml:space="preserve"> TOC \h \z \t "Heading 2 Notes,4" </w:instrText>
      </w:r>
      <w:r w:rsidRPr="00B56B1C">
        <w:fldChar w:fldCharType="separate"/>
      </w:r>
      <w:hyperlink w:anchor="_Toc373751807" w:history="1">
        <w:r w:rsidRPr="008204D7">
          <w:rPr>
            <w:rStyle w:val="Hyperlink"/>
          </w:rPr>
          <w:t>Note 1:</w:t>
        </w:r>
        <w:r>
          <w:rPr>
            <w:rFonts w:asciiTheme="minorHAnsi" w:eastAsiaTheme="minorEastAsia" w:hAnsiTheme="minorHAnsi" w:cstheme="minorBidi"/>
            <w:sz w:val="22"/>
            <w:szCs w:val="22"/>
            <w:lang w:eastAsia="en-AU"/>
          </w:rPr>
          <w:tab/>
        </w:r>
        <w:r w:rsidRPr="008204D7">
          <w:rPr>
            <w:rStyle w:val="Hyperlink"/>
          </w:rPr>
          <w:t>Statement of significant accounting policies and forecast assumptions</w:t>
        </w:r>
        <w:r>
          <w:rPr>
            <w:webHidden/>
          </w:rPr>
          <w:tab/>
        </w:r>
        <w:r>
          <w:rPr>
            <w:webHidden/>
          </w:rPr>
          <w:fldChar w:fldCharType="begin"/>
        </w:r>
        <w:r>
          <w:rPr>
            <w:webHidden/>
          </w:rPr>
          <w:instrText xml:space="preserve"> PAGEREF _Toc373751807 \h </w:instrText>
        </w:r>
        <w:r>
          <w:rPr>
            <w:webHidden/>
          </w:rPr>
        </w:r>
        <w:r>
          <w:rPr>
            <w:webHidden/>
          </w:rPr>
          <w:fldChar w:fldCharType="separate"/>
        </w:r>
        <w:r w:rsidR="001C5190">
          <w:rPr>
            <w:webHidden/>
          </w:rPr>
          <w:t>61</w:t>
        </w:r>
        <w:r>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08" w:history="1">
        <w:r w:rsidR="00F60B5F" w:rsidRPr="008204D7">
          <w:rPr>
            <w:rStyle w:val="Hyperlink"/>
          </w:rPr>
          <w:t>Note 2:</w:t>
        </w:r>
        <w:r w:rsidR="00F60B5F">
          <w:rPr>
            <w:rFonts w:asciiTheme="minorHAnsi" w:eastAsiaTheme="minorEastAsia" w:hAnsiTheme="minorHAnsi" w:cstheme="minorBidi"/>
            <w:sz w:val="22"/>
            <w:szCs w:val="22"/>
            <w:lang w:eastAsia="en-AU"/>
          </w:rPr>
          <w:tab/>
        </w:r>
        <w:r w:rsidR="00F60B5F" w:rsidRPr="008204D7">
          <w:rPr>
            <w:rStyle w:val="Hyperlink"/>
          </w:rPr>
          <w:t>Taxation</w:t>
        </w:r>
        <w:r w:rsidR="00F60B5F">
          <w:rPr>
            <w:webHidden/>
          </w:rPr>
          <w:tab/>
        </w:r>
        <w:r w:rsidR="00F60B5F">
          <w:rPr>
            <w:webHidden/>
          </w:rPr>
          <w:fldChar w:fldCharType="begin"/>
        </w:r>
        <w:r w:rsidR="00F60B5F">
          <w:rPr>
            <w:webHidden/>
          </w:rPr>
          <w:instrText xml:space="preserve"> PAGEREF _Toc373751808 \h </w:instrText>
        </w:r>
        <w:r w:rsidR="00F60B5F">
          <w:rPr>
            <w:webHidden/>
          </w:rPr>
        </w:r>
        <w:r w:rsidR="00F60B5F">
          <w:rPr>
            <w:webHidden/>
          </w:rPr>
          <w:fldChar w:fldCharType="separate"/>
        </w:r>
        <w:r w:rsidR="001C5190">
          <w:rPr>
            <w:webHidden/>
          </w:rPr>
          <w:t>69</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09" w:history="1">
        <w:r w:rsidR="00F60B5F" w:rsidRPr="008204D7">
          <w:rPr>
            <w:rStyle w:val="Hyperlink"/>
          </w:rPr>
          <w:t>Note 3:</w:t>
        </w:r>
        <w:r w:rsidR="00F60B5F">
          <w:rPr>
            <w:rFonts w:asciiTheme="minorHAnsi" w:eastAsiaTheme="minorEastAsia" w:hAnsiTheme="minorHAnsi" w:cstheme="minorBidi"/>
            <w:sz w:val="22"/>
            <w:szCs w:val="22"/>
            <w:lang w:eastAsia="en-AU"/>
          </w:rPr>
          <w:tab/>
        </w:r>
        <w:r w:rsidR="00F60B5F" w:rsidRPr="008204D7">
          <w:rPr>
            <w:rStyle w:val="Hyperlink"/>
          </w:rPr>
          <w:t>Dividends and income tax equivalent and rate equivalent revenue</w:t>
        </w:r>
        <w:r w:rsidR="00F60B5F">
          <w:rPr>
            <w:webHidden/>
          </w:rPr>
          <w:tab/>
        </w:r>
        <w:r w:rsidR="00F60B5F">
          <w:rPr>
            <w:webHidden/>
          </w:rPr>
          <w:fldChar w:fldCharType="begin"/>
        </w:r>
        <w:r w:rsidR="00F60B5F">
          <w:rPr>
            <w:webHidden/>
          </w:rPr>
          <w:instrText xml:space="preserve"> PAGEREF _Toc373751809 \h </w:instrText>
        </w:r>
        <w:r w:rsidR="00F60B5F">
          <w:rPr>
            <w:webHidden/>
          </w:rPr>
        </w:r>
        <w:r w:rsidR="00F60B5F">
          <w:rPr>
            <w:webHidden/>
          </w:rPr>
          <w:fldChar w:fldCharType="separate"/>
        </w:r>
        <w:r w:rsidR="001C5190">
          <w:rPr>
            <w:webHidden/>
          </w:rPr>
          <w:t>70</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0" w:history="1">
        <w:r w:rsidR="00F60B5F" w:rsidRPr="008204D7">
          <w:rPr>
            <w:rStyle w:val="Hyperlink"/>
          </w:rPr>
          <w:t>Note 4:</w:t>
        </w:r>
        <w:r w:rsidR="00F60B5F">
          <w:rPr>
            <w:rFonts w:asciiTheme="minorHAnsi" w:eastAsiaTheme="minorEastAsia" w:hAnsiTheme="minorHAnsi" w:cstheme="minorBidi"/>
            <w:sz w:val="22"/>
            <w:szCs w:val="22"/>
            <w:lang w:eastAsia="en-AU"/>
          </w:rPr>
          <w:tab/>
        </w:r>
        <w:r w:rsidR="00F60B5F" w:rsidRPr="008204D7">
          <w:rPr>
            <w:rStyle w:val="Hyperlink"/>
          </w:rPr>
          <w:t>Sale of goods and services</w:t>
        </w:r>
        <w:r w:rsidR="00F60B5F">
          <w:rPr>
            <w:webHidden/>
          </w:rPr>
          <w:tab/>
        </w:r>
        <w:r w:rsidR="00F60B5F">
          <w:rPr>
            <w:webHidden/>
          </w:rPr>
          <w:fldChar w:fldCharType="begin"/>
        </w:r>
        <w:r w:rsidR="00F60B5F">
          <w:rPr>
            <w:webHidden/>
          </w:rPr>
          <w:instrText xml:space="preserve"> PAGEREF _Toc373751810 \h </w:instrText>
        </w:r>
        <w:r w:rsidR="00F60B5F">
          <w:rPr>
            <w:webHidden/>
          </w:rPr>
        </w:r>
        <w:r w:rsidR="00F60B5F">
          <w:rPr>
            <w:webHidden/>
          </w:rPr>
          <w:fldChar w:fldCharType="separate"/>
        </w:r>
        <w:r w:rsidR="001C5190">
          <w:rPr>
            <w:webHidden/>
          </w:rPr>
          <w:t>70</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1" w:history="1">
        <w:r w:rsidR="00F60B5F" w:rsidRPr="008204D7">
          <w:rPr>
            <w:rStyle w:val="Hyperlink"/>
          </w:rPr>
          <w:t>Note 5:</w:t>
        </w:r>
        <w:r w:rsidR="00F60B5F">
          <w:rPr>
            <w:rFonts w:asciiTheme="minorHAnsi" w:eastAsiaTheme="minorEastAsia" w:hAnsiTheme="minorHAnsi" w:cstheme="minorBidi"/>
            <w:sz w:val="22"/>
            <w:szCs w:val="22"/>
            <w:lang w:eastAsia="en-AU"/>
          </w:rPr>
          <w:tab/>
        </w:r>
        <w:r w:rsidR="00F60B5F" w:rsidRPr="008204D7">
          <w:rPr>
            <w:rStyle w:val="Hyperlink"/>
          </w:rPr>
          <w:t>Grants</w:t>
        </w:r>
        <w:r w:rsidR="00F60B5F">
          <w:rPr>
            <w:webHidden/>
          </w:rPr>
          <w:tab/>
        </w:r>
        <w:r w:rsidR="00F60B5F">
          <w:rPr>
            <w:webHidden/>
          </w:rPr>
          <w:fldChar w:fldCharType="begin"/>
        </w:r>
        <w:r w:rsidR="00F60B5F">
          <w:rPr>
            <w:webHidden/>
          </w:rPr>
          <w:instrText xml:space="preserve"> PAGEREF _Toc373751811 \h </w:instrText>
        </w:r>
        <w:r w:rsidR="00F60B5F">
          <w:rPr>
            <w:webHidden/>
          </w:rPr>
        </w:r>
        <w:r w:rsidR="00F60B5F">
          <w:rPr>
            <w:webHidden/>
          </w:rPr>
          <w:fldChar w:fldCharType="separate"/>
        </w:r>
        <w:r w:rsidR="001C5190">
          <w:rPr>
            <w:webHidden/>
          </w:rPr>
          <w:t>71</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2" w:history="1">
        <w:r w:rsidR="00F60B5F" w:rsidRPr="008204D7">
          <w:rPr>
            <w:rStyle w:val="Hyperlink"/>
          </w:rPr>
          <w:t>Note 6:</w:t>
        </w:r>
        <w:r w:rsidR="00F60B5F">
          <w:rPr>
            <w:rFonts w:asciiTheme="minorHAnsi" w:eastAsiaTheme="minorEastAsia" w:hAnsiTheme="minorHAnsi" w:cstheme="minorBidi"/>
            <w:sz w:val="22"/>
            <w:szCs w:val="22"/>
            <w:lang w:eastAsia="en-AU"/>
          </w:rPr>
          <w:tab/>
        </w:r>
        <w:r w:rsidR="00F60B5F" w:rsidRPr="008204D7">
          <w:rPr>
            <w:rStyle w:val="Hyperlink"/>
          </w:rPr>
          <w:t>Other revenue</w:t>
        </w:r>
        <w:r w:rsidR="00F60B5F">
          <w:rPr>
            <w:webHidden/>
          </w:rPr>
          <w:tab/>
        </w:r>
        <w:r w:rsidR="00F60B5F">
          <w:rPr>
            <w:webHidden/>
          </w:rPr>
          <w:fldChar w:fldCharType="begin"/>
        </w:r>
        <w:r w:rsidR="00F60B5F">
          <w:rPr>
            <w:webHidden/>
          </w:rPr>
          <w:instrText xml:space="preserve"> PAGEREF _Toc373751812 \h </w:instrText>
        </w:r>
        <w:r w:rsidR="00F60B5F">
          <w:rPr>
            <w:webHidden/>
          </w:rPr>
        </w:r>
        <w:r w:rsidR="00F60B5F">
          <w:rPr>
            <w:webHidden/>
          </w:rPr>
          <w:fldChar w:fldCharType="separate"/>
        </w:r>
        <w:r w:rsidR="001C5190">
          <w:rPr>
            <w:webHidden/>
          </w:rPr>
          <w:t>71</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3" w:history="1">
        <w:r w:rsidR="00F60B5F" w:rsidRPr="008204D7">
          <w:rPr>
            <w:rStyle w:val="Hyperlink"/>
          </w:rPr>
          <w:t>Note 7:</w:t>
        </w:r>
        <w:r w:rsidR="00F60B5F">
          <w:rPr>
            <w:rFonts w:asciiTheme="minorHAnsi" w:eastAsiaTheme="minorEastAsia" w:hAnsiTheme="minorHAnsi" w:cstheme="minorBidi"/>
            <w:sz w:val="22"/>
            <w:szCs w:val="22"/>
            <w:lang w:eastAsia="en-AU"/>
          </w:rPr>
          <w:tab/>
        </w:r>
        <w:r w:rsidR="00F60B5F" w:rsidRPr="008204D7">
          <w:rPr>
            <w:rStyle w:val="Hyperlink"/>
          </w:rPr>
          <w:t>Superannuation</w:t>
        </w:r>
        <w:r w:rsidR="00F60B5F">
          <w:rPr>
            <w:webHidden/>
          </w:rPr>
          <w:tab/>
        </w:r>
        <w:r w:rsidR="00F60B5F">
          <w:rPr>
            <w:webHidden/>
          </w:rPr>
          <w:fldChar w:fldCharType="begin"/>
        </w:r>
        <w:r w:rsidR="00F60B5F">
          <w:rPr>
            <w:webHidden/>
          </w:rPr>
          <w:instrText xml:space="preserve"> PAGEREF _Toc373751813 \h </w:instrText>
        </w:r>
        <w:r w:rsidR="00F60B5F">
          <w:rPr>
            <w:webHidden/>
          </w:rPr>
        </w:r>
        <w:r w:rsidR="00F60B5F">
          <w:rPr>
            <w:webHidden/>
          </w:rPr>
          <w:fldChar w:fldCharType="separate"/>
        </w:r>
        <w:r w:rsidR="001C5190">
          <w:rPr>
            <w:webHidden/>
          </w:rPr>
          <w:t>72</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4" w:history="1">
        <w:r w:rsidR="00F60B5F" w:rsidRPr="008204D7">
          <w:rPr>
            <w:rStyle w:val="Hyperlink"/>
          </w:rPr>
          <w:t>Note 8:</w:t>
        </w:r>
        <w:r w:rsidR="00F60B5F">
          <w:rPr>
            <w:rFonts w:asciiTheme="minorHAnsi" w:eastAsiaTheme="minorEastAsia" w:hAnsiTheme="minorHAnsi" w:cstheme="minorBidi"/>
            <w:sz w:val="22"/>
            <w:szCs w:val="22"/>
            <w:lang w:eastAsia="en-AU"/>
          </w:rPr>
          <w:tab/>
        </w:r>
        <w:r w:rsidR="00F60B5F" w:rsidRPr="008204D7">
          <w:rPr>
            <w:rStyle w:val="Hyperlink"/>
          </w:rPr>
          <w:t>Depreciation</w:t>
        </w:r>
        <w:r w:rsidR="00F60B5F">
          <w:rPr>
            <w:webHidden/>
          </w:rPr>
          <w:tab/>
        </w:r>
        <w:r w:rsidR="00F60B5F">
          <w:rPr>
            <w:webHidden/>
          </w:rPr>
          <w:fldChar w:fldCharType="begin"/>
        </w:r>
        <w:r w:rsidR="00F60B5F">
          <w:rPr>
            <w:webHidden/>
          </w:rPr>
          <w:instrText xml:space="preserve"> PAGEREF _Toc373751814 \h </w:instrText>
        </w:r>
        <w:r w:rsidR="00F60B5F">
          <w:rPr>
            <w:webHidden/>
          </w:rPr>
        </w:r>
        <w:r w:rsidR="00F60B5F">
          <w:rPr>
            <w:webHidden/>
          </w:rPr>
          <w:fldChar w:fldCharType="separate"/>
        </w:r>
        <w:r w:rsidR="001C5190">
          <w:rPr>
            <w:webHidden/>
          </w:rPr>
          <w:t>74</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5" w:history="1">
        <w:r w:rsidR="00F60B5F" w:rsidRPr="008204D7">
          <w:rPr>
            <w:rStyle w:val="Hyperlink"/>
          </w:rPr>
          <w:t>Note 9:</w:t>
        </w:r>
        <w:r w:rsidR="00F60B5F">
          <w:rPr>
            <w:rFonts w:asciiTheme="minorHAnsi" w:eastAsiaTheme="minorEastAsia" w:hAnsiTheme="minorHAnsi" w:cstheme="minorBidi"/>
            <w:sz w:val="22"/>
            <w:szCs w:val="22"/>
            <w:lang w:eastAsia="en-AU"/>
          </w:rPr>
          <w:tab/>
        </w:r>
        <w:r w:rsidR="00F60B5F" w:rsidRPr="008204D7">
          <w:rPr>
            <w:rStyle w:val="Hyperlink"/>
          </w:rPr>
          <w:t>Interest expense</w:t>
        </w:r>
        <w:r w:rsidR="00F60B5F">
          <w:rPr>
            <w:webHidden/>
          </w:rPr>
          <w:tab/>
        </w:r>
        <w:r w:rsidR="00F60B5F">
          <w:rPr>
            <w:webHidden/>
          </w:rPr>
          <w:fldChar w:fldCharType="begin"/>
        </w:r>
        <w:r w:rsidR="00F60B5F">
          <w:rPr>
            <w:webHidden/>
          </w:rPr>
          <w:instrText xml:space="preserve"> PAGEREF _Toc373751815 \h </w:instrText>
        </w:r>
        <w:r w:rsidR="00F60B5F">
          <w:rPr>
            <w:webHidden/>
          </w:rPr>
        </w:r>
        <w:r w:rsidR="00F60B5F">
          <w:rPr>
            <w:webHidden/>
          </w:rPr>
          <w:fldChar w:fldCharType="separate"/>
        </w:r>
        <w:r w:rsidR="001C5190">
          <w:rPr>
            <w:webHidden/>
          </w:rPr>
          <w:t>75</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6" w:history="1">
        <w:r w:rsidR="00F60B5F" w:rsidRPr="008204D7">
          <w:rPr>
            <w:rStyle w:val="Hyperlink"/>
          </w:rPr>
          <w:t>Note 10:</w:t>
        </w:r>
        <w:r w:rsidR="00F60B5F">
          <w:rPr>
            <w:rFonts w:asciiTheme="minorHAnsi" w:eastAsiaTheme="minorEastAsia" w:hAnsiTheme="minorHAnsi" w:cstheme="minorBidi"/>
            <w:sz w:val="22"/>
            <w:szCs w:val="22"/>
            <w:lang w:eastAsia="en-AU"/>
          </w:rPr>
          <w:tab/>
        </w:r>
        <w:r w:rsidR="00F60B5F" w:rsidRPr="008204D7">
          <w:rPr>
            <w:rStyle w:val="Hyperlink"/>
          </w:rPr>
          <w:t>Grants and other transfers</w:t>
        </w:r>
        <w:r w:rsidR="00F60B5F">
          <w:rPr>
            <w:webHidden/>
          </w:rPr>
          <w:tab/>
        </w:r>
        <w:r w:rsidR="00F60B5F">
          <w:rPr>
            <w:webHidden/>
          </w:rPr>
          <w:fldChar w:fldCharType="begin"/>
        </w:r>
        <w:r w:rsidR="00F60B5F">
          <w:rPr>
            <w:webHidden/>
          </w:rPr>
          <w:instrText xml:space="preserve"> PAGEREF _Toc373751816 \h </w:instrText>
        </w:r>
        <w:r w:rsidR="00F60B5F">
          <w:rPr>
            <w:webHidden/>
          </w:rPr>
        </w:r>
        <w:r w:rsidR="00F60B5F">
          <w:rPr>
            <w:webHidden/>
          </w:rPr>
          <w:fldChar w:fldCharType="separate"/>
        </w:r>
        <w:r w:rsidR="001C5190">
          <w:rPr>
            <w:webHidden/>
          </w:rPr>
          <w:t>75</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7" w:history="1">
        <w:r w:rsidR="00F60B5F" w:rsidRPr="008204D7">
          <w:rPr>
            <w:rStyle w:val="Hyperlink"/>
          </w:rPr>
          <w:t>Note 11:</w:t>
        </w:r>
        <w:r w:rsidR="00F60B5F">
          <w:rPr>
            <w:rFonts w:asciiTheme="minorHAnsi" w:eastAsiaTheme="minorEastAsia" w:hAnsiTheme="minorHAnsi" w:cstheme="minorBidi"/>
            <w:sz w:val="22"/>
            <w:szCs w:val="22"/>
            <w:lang w:eastAsia="en-AU"/>
          </w:rPr>
          <w:tab/>
        </w:r>
        <w:r w:rsidR="00F60B5F" w:rsidRPr="008204D7">
          <w:rPr>
            <w:rStyle w:val="Hyperlink"/>
          </w:rPr>
          <w:t>Other operating expenses</w:t>
        </w:r>
        <w:r w:rsidR="00F60B5F">
          <w:rPr>
            <w:webHidden/>
          </w:rPr>
          <w:tab/>
        </w:r>
        <w:r w:rsidR="00F60B5F">
          <w:rPr>
            <w:webHidden/>
          </w:rPr>
          <w:fldChar w:fldCharType="begin"/>
        </w:r>
        <w:r w:rsidR="00F60B5F">
          <w:rPr>
            <w:webHidden/>
          </w:rPr>
          <w:instrText xml:space="preserve"> PAGEREF _Toc373751817 \h </w:instrText>
        </w:r>
        <w:r w:rsidR="00F60B5F">
          <w:rPr>
            <w:webHidden/>
          </w:rPr>
        </w:r>
        <w:r w:rsidR="00F60B5F">
          <w:rPr>
            <w:webHidden/>
          </w:rPr>
          <w:fldChar w:fldCharType="separate"/>
        </w:r>
        <w:r w:rsidR="001C5190">
          <w:rPr>
            <w:webHidden/>
          </w:rPr>
          <w:t>76</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8" w:history="1">
        <w:r w:rsidR="00F60B5F" w:rsidRPr="008204D7">
          <w:rPr>
            <w:rStyle w:val="Hyperlink"/>
          </w:rPr>
          <w:t>Note 12:</w:t>
        </w:r>
        <w:r w:rsidR="00F60B5F">
          <w:rPr>
            <w:rFonts w:asciiTheme="minorHAnsi" w:eastAsiaTheme="minorEastAsia" w:hAnsiTheme="minorHAnsi" w:cstheme="minorBidi"/>
            <w:sz w:val="22"/>
            <w:szCs w:val="22"/>
            <w:lang w:eastAsia="en-AU"/>
          </w:rPr>
          <w:tab/>
        </w:r>
        <w:r w:rsidR="00F60B5F" w:rsidRPr="008204D7">
          <w:rPr>
            <w:rStyle w:val="Hyperlink"/>
          </w:rPr>
          <w:t>Total expenses by government purpose and by department</w:t>
        </w:r>
        <w:r w:rsidR="00F60B5F">
          <w:rPr>
            <w:webHidden/>
          </w:rPr>
          <w:tab/>
        </w:r>
        <w:r w:rsidR="00F60B5F">
          <w:rPr>
            <w:webHidden/>
          </w:rPr>
          <w:fldChar w:fldCharType="begin"/>
        </w:r>
        <w:r w:rsidR="00F60B5F">
          <w:rPr>
            <w:webHidden/>
          </w:rPr>
          <w:instrText xml:space="preserve"> PAGEREF _Toc373751818 \h </w:instrText>
        </w:r>
        <w:r w:rsidR="00F60B5F">
          <w:rPr>
            <w:webHidden/>
          </w:rPr>
        </w:r>
        <w:r w:rsidR="00F60B5F">
          <w:rPr>
            <w:webHidden/>
          </w:rPr>
          <w:fldChar w:fldCharType="separate"/>
        </w:r>
        <w:r w:rsidR="001C5190">
          <w:rPr>
            <w:webHidden/>
          </w:rPr>
          <w:t>76</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19" w:history="1">
        <w:r w:rsidR="00F60B5F" w:rsidRPr="008204D7">
          <w:rPr>
            <w:rStyle w:val="Hyperlink"/>
          </w:rPr>
          <w:t>Note 13:</w:t>
        </w:r>
        <w:r w:rsidR="00F60B5F">
          <w:rPr>
            <w:rFonts w:asciiTheme="minorHAnsi" w:eastAsiaTheme="minorEastAsia" w:hAnsiTheme="minorHAnsi" w:cstheme="minorBidi"/>
            <w:sz w:val="22"/>
            <w:szCs w:val="22"/>
            <w:lang w:eastAsia="en-AU"/>
          </w:rPr>
          <w:tab/>
        </w:r>
        <w:r w:rsidR="00F60B5F" w:rsidRPr="008204D7">
          <w:rPr>
            <w:rStyle w:val="Hyperlink"/>
          </w:rPr>
          <w:t>Other gains/(losses) from other economic flows</w:t>
        </w:r>
        <w:r w:rsidR="00F60B5F">
          <w:rPr>
            <w:webHidden/>
          </w:rPr>
          <w:tab/>
        </w:r>
        <w:r w:rsidR="00F60B5F">
          <w:rPr>
            <w:webHidden/>
          </w:rPr>
          <w:fldChar w:fldCharType="begin"/>
        </w:r>
        <w:r w:rsidR="00F60B5F">
          <w:rPr>
            <w:webHidden/>
          </w:rPr>
          <w:instrText xml:space="preserve"> PAGEREF _Toc373751819 \h </w:instrText>
        </w:r>
        <w:r w:rsidR="00F60B5F">
          <w:rPr>
            <w:webHidden/>
          </w:rPr>
        </w:r>
        <w:r w:rsidR="00F60B5F">
          <w:rPr>
            <w:webHidden/>
          </w:rPr>
          <w:fldChar w:fldCharType="separate"/>
        </w:r>
        <w:r w:rsidR="001C5190">
          <w:rPr>
            <w:webHidden/>
          </w:rPr>
          <w:t>78</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0" w:history="1">
        <w:r w:rsidR="00F60B5F" w:rsidRPr="008204D7">
          <w:rPr>
            <w:rStyle w:val="Hyperlink"/>
          </w:rPr>
          <w:t>Note 14:</w:t>
        </w:r>
        <w:r w:rsidR="00F60B5F">
          <w:rPr>
            <w:rFonts w:asciiTheme="minorHAnsi" w:eastAsiaTheme="minorEastAsia" w:hAnsiTheme="minorHAnsi" w:cstheme="minorBidi"/>
            <w:sz w:val="22"/>
            <w:szCs w:val="22"/>
            <w:lang w:eastAsia="en-AU"/>
          </w:rPr>
          <w:tab/>
        </w:r>
        <w:r w:rsidR="00F60B5F" w:rsidRPr="008204D7">
          <w:rPr>
            <w:rStyle w:val="Hyperlink"/>
          </w:rPr>
          <w:t>Reconciliation of net gain on equity investments in other sector entities at proportional share of net assets</w:t>
        </w:r>
        <w:r w:rsidR="00F60B5F">
          <w:rPr>
            <w:webHidden/>
          </w:rPr>
          <w:tab/>
        </w:r>
        <w:r w:rsidR="00F60B5F">
          <w:rPr>
            <w:webHidden/>
          </w:rPr>
          <w:fldChar w:fldCharType="begin"/>
        </w:r>
        <w:r w:rsidR="00F60B5F">
          <w:rPr>
            <w:webHidden/>
          </w:rPr>
          <w:instrText xml:space="preserve"> PAGEREF _Toc373751820 \h </w:instrText>
        </w:r>
        <w:r w:rsidR="00F60B5F">
          <w:rPr>
            <w:webHidden/>
          </w:rPr>
        </w:r>
        <w:r w:rsidR="00F60B5F">
          <w:rPr>
            <w:webHidden/>
          </w:rPr>
          <w:fldChar w:fldCharType="separate"/>
        </w:r>
        <w:r w:rsidR="001C5190">
          <w:rPr>
            <w:webHidden/>
          </w:rPr>
          <w:t>78</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1" w:history="1">
        <w:r w:rsidR="00F60B5F" w:rsidRPr="008204D7">
          <w:rPr>
            <w:rStyle w:val="Hyperlink"/>
          </w:rPr>
          <w:t>Note 15:</w:t>
        </w:r>
        <w:r w:rsidR="00F60B5F">
          <w:rPr>
            <w:rFonts w:asciiTheme="minorHAnsi" w:eastAsiaTheme="minorEastAsia" w:hAnsiTheme="minorHAnsi" w:cstheme="minorBidi"/>
            <w:sz w:val="22"/>
            <w:szCs w:val="22"/>
            <w:lang w:eastAsia="en-AU"/>
          </w:rPr>
          <w:tab/>
        </w:r>
        <w:r w:rsidR="00F60B5F" w:rsidRPr="008204D7">
          <w:rPr>
            <w:rStyle w:val="Hyperlink"/>
          </w:rPr>
          <w:t>Net acquisition on non</w:t>
        </w:r>
        <w:r w:rsidR="00F60B5F">
          <w:rPr>
            <w:rStyle w:val="Hyperlink"/>
          </w:rPr>
          <w:noBreakHyphen/>
        </w:r>
        <w:r w:rsidR="00F60B5F" w:rsidRPr="008204D7">
          <w:rPr>
            <w:rStyle w:val="Hyperlink"/>
          </w:rPr>
          <w:t>financial assets</w:t>
        </w:r>
        <w:r w:rsidR="00F60B5F">
          <w:rPr>
            <w:webHidden/>
          </w:rPr>
          <w:tab/>
        </w:r>
        <w:r w:rsidR="00F60B5F">
          <w:rPr>
            <w:webHidden/>
          </w:rPr>
          <w:fldChar w:fldCharType="begin"/>
        </w:r>
        <w:r w:rsidR="00F60B5F">
          <w:rPr>
            <w:webHidden/>
          </w:rPr>
          <w:instrText xml:space="preserve"> PAGEREF _Toc373751821 \h </w:instrText>
        </w:r>
        <w:r w:rsidR="00F60B5F">
          <w:rPr>
            <w:webHidden/>
          </w:rPr>
        </w:r>
        <w:r w:rsidR="00F60B5F">
          <w:rPr>
            <w:webHidden/>
          </w:rPr>
          <w:fldChar w:fldCharType="separate"/>
        </w:r>
        <w:r w:rsidR="001C5190">
          <w:rPr>
            <w:webHidden/>
          </w:rPr>
          <w:t>79</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2" w:history="1">
        <w:r w:rsidR="00F60B5F" w:rsidRPr="008204D7">
          <w:rPr>
            <w:rStyle w:val="Hyperlink"/>
          </w:rPr>
          <w:t>Note 16:</w:t>
        </w:r>
        <w:r w:rsidR="00F60B5F">
          <w:rPr>
            <w:rFonts w:asciiTheme="minorHAnsi" w:eastAsiaTheme="minorEastAsia" w:hAnsiTheme="minorHAnsi" w:cstheme="minorBidi"/>
            <w:sz w:val="22"/>
            <w:szCs w:val="22"/>
            <w:lang w:eastAsia="en-AU"/>
          </w:rPr>
          <w:tab/>
        </w:r>
        <w:r w:rsidR="00F60B5F" w:rsidRPr="008204D7">
          <w:rPr>
            <w:rStyle w:val="Hyperlink"/>
          </w:rPr>
          <w:t>Advances paid and Investments loans and replacements</w:t>
        </w:r>
        <w:r w:rsidR="00F60B5F">
          <w:rPr>
            <w:webHidden/>
          </w:rPr>
          <w:tab/>
        </w:r>
        <w:r w:rsidR="00F60B5F">
          <w:rPr>
            <w:webHidden/>
          </w:rPr>
          <w:fldChar w:fldCharType="begin"/>
        </w:r>
        <w:r w:rsidR="00F60B5F">
          <w:rPr>
            <w:webHidden/>
          </w:rPr>
          <w:instrText xml:space="preserve"> PAGEREF _Toc373751822 \h </w:instrText>
        </w:r>
        <w:r w:rsidR="00F60B5F">
          <w:rPr>
            <w:webHidden/>
          </w:rPr>
        </w:r>
        <w:r w:rsidR="00F60B5F">
          <w:rPr>
            <w:webHidden/>
          </w:rPr>
          <w:fldChar w:fldCharType="separate"/>
        </w:r>
        <w:r w:rsidR="001C5190">
          <w:rPr>
            <w:webHidden/>
          </w:rPr>
          <w:t>79</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3" w:history="1">
        <w:r w:rsidR="00F60B5F" w:rsidRPr="008204D7">
          <w:rPr>
            <w:rStyle w:val="Hyperlink"/>
          </w:rPr>
          <w:t>Note 17:</w:t>
        </w:r>
        <w:r w:rsidR="00F60B5F">
          <w:rPr>
            <w:rFonts w:asciiTheme="minorHAnsi" w:eastAsiaTheme="minorEastAsia" w:hAnsiTheme="minorHAnsi" w:cstheme="minorBidi"/>
            <w:sz w:val="22"/>
            <w:szCs w:val="22"/>
            <w:lang w:eastAsia="en-AU"/>
          </w:rPr>
          <w:tab/>
        </w:r>
        <w:r w:rsidR="00F60B5F" w:rsidRPr="008204D7">
          <w:rPr>
            <w:rStyle w:val="Hyperlink"/>
          </w:rPr>
          <w:t>Land, buildings, infrastructure, plant and equipment</w:t>
        </w:r>
        <w:r w:rsidR="00F60B5F">
          <w:rPr>
            <w:webHidden/>
          </w:rPr>
          <w:tab/>
        </w:r>
        <w:r w:rsidR="00F60B5F">
          <w:rPr>
            <w:webHidden/>
          </w:rPr>
          <w:fldChar w:fldCharType="begin"/>
        </w:r>
        <w:r w:rsidR="00F60B5F">
          <w:rPr>
            <w:webHidden/>
          </w:rPr>
          <w:instrText xml:space="preserve"> PAGEREF _Toc373751823 \h </w:instrText>
        </w:r>
        <w:r w:rsidR="00F60B5F">
          <w:rPr>
            <w:webHidden/>
          </w:rPr>
        </w:r>
        <w:r w:rsidR="00F60B5F">
          <w:rPr>
            <w:webHidden/>
          </w:rPr>
          <w:fldChar w:fldCharType="separate"/>
        </w:r>
        <w:r w:rsidR="001C5190">
          <w:rPr>
            <w:webHidden/>
          </w:rPr>
          <w:t>80</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4" w:history="1">
        <w:r w:rsidR="00F60B5F" w:rsidRPr="008204D7">
          <w:rPr>
            <w:rStyle w:val="Hyperlink"/>
          </w:rPr>
          <w:t>Note 18:</w:t>
        </w:r>
        <w:r w:rsidR="00F60B5F">
          <w:rPr>
            <w:rFonts w:asciiTheme="minorHAnsi" w:eastAsiaTheme="minorEastAsia" w:hAnsiTheme="minorHAnsi" w:cstheme="minorBidi"/>
            <w:sz w:val="22"/>
            <w:szCs w:val="22"/>
            <w:lang w:eastAsia="en-AU"/>
          </w:rPr>
          <w:tab/>
        </w:r>
        <w:r w:rsidR="00F60B5F" w:rsidRPr="008204D7">
          <w:rPr>
            <w:rStyle w:val="Hyperlink"/>
          </w:rPr>
          <w:t>Reconciliation of movements in land, buildings, infrastructure, plant and equipment</w:t>
        </w:r>
        <w:r w:rsidR="00F60B5F">
          <w:rPr>
            <w:webHidden/>
          </w:rPr>
          <w:tab/>
        </w:r>
        <w:r w:rsidR="00F60B5F">
          <w:rPr>
            <w:webHidden/>
          </w:rPr>
          <w:fldChar w:fldCharType="begin"/>
        </w:r>
        <w:r w:rsidR="00F60B5F">
          <w:rPr>
            <w:webHidden/>
          </w:rPr>
          <w:instrText xml:space="preserve"> PAGEREF _Toc373751824 \h </w:instrText>
        </w:r>
        <w:r w:rsidR="00F60B5F">
          <w:rPr>
            <w:webHidden/>
          </w:rPr>
        </w:r>
        <w:r w:rsidR="00F60B5F">
          <w:rPr>
            <w:webHidden/>
          </w:rPr>
          <w:fldChar w:fldCharType="separate"/>
        </w:r>
        <w:r w:rsidR="001C5190">
          <w:rPr>
            <w:webHidden/>
          </w:rPr>
          <w:t>80</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5" w:history="1">
        <w:r w:rsidR="00F60B5F" w:rsidRPr="008204D7">
          <w:rPr>
            <w:rStyle w:val="Hyperlink"/>
          </w:rPr>
          <w:t>Note 19:</w:t>
        </w:r>
        <w:r w:rsidR="00F60B5F">
          <w:rPr>
            <w:rFonts w:asciiTheme="minorHAnsi" w:eastAsiaTheme="minorEastAsia" w:hAnsiTheme="minorHAnsi" w:cstheme="minorBidi"/>
            <w:sz w:val="22"/>
            <w:szCs w:val="22"/>
            <w:lang w:eastAsia="en-AU"/>
          </w:rPr>
          <w:tab/>
        </w:r>
        <w:r w:rsidR="00F60B5F" w:rsidRPr="008204D7">
          <w:rPr>
            <w:rStyle w:val="Hyperlink"/>
          </w:rPr>
          <w:t>Assets classified by government purpose and by department</w:t>
        </w:r>
        <w:r w:rsidR="00F60B5F">
          <w:rPr>
            <w:webHidden/>
          </w:rPr>
          <w:tab/>
        </w:r>
        <w:r w:rsidR="00F60B5F">
          <w:rPr>
            <w:webHidden/>
          </w:rPr>
          <w:fldChar w:fldCharType="begin"/>
        </w:r>
        <w:r w:rsidR="00F60B5F">
          <w:rPr>
            <w:webHidden/>
          </w:rPr>
          <w:instrText xml:space="preserve"> PAGEREF _Toc373751825 \h </w:instrText>
        </w:r>
        <w:r w:rsidR="00F60B5F">
          <w:rPr>
            <w:webHidden/>
          </w:rPr>
        </w:r>
        <w:r w:rsidR="00F60B5F">
          <w:rPr>
            <w:webHidden/>
          </w:rPr>
          <w:fldChar w:fldCharType="separate"/>
        </w:r>
        <w:r w:rsidR="001C5190">
          <w:rPr>
            <w:webHidden/>
          </w:rPr>
          <w:t>81</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6" w:history="1">
        <w:r w:rsidR="00F60B5F" w:rsidRPr="008204D7">
          <w:rPr>
            <w:rStyle w:val="Hyperlink"/>
          </w:rPr>
          <w:t>Note 20:</w:t>
        </w:r>
        <w:r w:rsidR="00F60B5F">
          <w:rPr>
            <w:rFonts w:asciiTheme="minorHAnsi" w:eastAsiaTheme="minorEastAsia" w:hAnsiTheme="minorHAnsi" w:cstheme="minorBidi"/>
            <w:sz w:val="22"/>
            <w:szCs w:val="22"/>
            <w:lang w:eastAsia="en-AU"/>
          </w:rPr>
          <w:tab/>
        </w:r>
        <w:r w:rsidR="00F60B5F" w:rsidRPr="008204D7">
          <w:rPr>
            <w:rStyle w:val="Hyperlink"/>
          </w:rPr>
          <w:t>Borrowings</w:t>
        </w:r>
        <w:r w:rsidR="00F60B5F">
          <w:rPr>
            <w:webHidden/>
          </w:rPr>
          <w:tab/>
        </w:r>
        <w:r w:rsidR="00F60B5F">
          <w:rPr>
            <w:webHidden/>
          </w:rPr>
          <w:fldChar w:fldCharType="begin"/>
        </w:r>
        <w:r w:rsidR="00F60B5F">
          <w:rPr>
            <w:webHidden/>
          </w:rPr>
          <w:instrText xml:space="preserve"> PAGEREF _Toc373751826 \h </w:instrText>
        </w:r>
        <w:r w:rsidR="00F60B5F">
          <w:rPr>
            <w:webHidden/>
          </w:rPr>
        </w:r>
        <w:r w:rsidR="00F60B5F">
          <w:rPr>
            <w:webHidden/>
          </w:rPr>
          <w:fldChar w:fldCharType="separate"/>
        </w:r>
        <w:r w:rsidR="001C5190">
          <w:rPr>
            <w:webHidden/>
          </w:rPr>
          <w:t>83</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7" w:history="1">
        <w:r w:rsidR="00F60B5F" w:rsidRPr="008204D7">
          <w:rPr>
            <w:rStyle w:val="Hyperlink"/>
          </w:rPr>
          <w:t>Note 21:</w:t>
        </w:r>
        <w:r w:rsidR="00F60B5F">
          <w:rPr>
            <w:rFonts w:asciiTheme="minorHAnsi" w:eastAsiaTheme="minorEastAsia" w:hAnsiTheme="minorHAnsi" w:cstheme="minorBidi"/>
            <w:sz w:val="22"/>
            <w:szCs w:val="22"/>
            <w:lang w:eastAsia="en-AU"/>
          </w:rPr>
          <w:tab/>
        </w:r>
        <w:r w:rsidR="00F60B5F" w:rsidRPr="008204D7">
          <w:rPr>
            <w:rStyle w:val="Hyperlink"/>
          </w:rPr>
          <w:t>Employee benefits</w:t>
        </w:r>
        <w:r w:rsidR="00F60B5F">
          <w:rPr>
            <w:webHidden/>
          </w:rPr>
          <w:tab/>
        </w:r>
        <w:r w:rsidR="00F60B5F">
          <w:rPr>
            <w:webHidden/>
          </w:rPr>
          <w:fldChar w:fldCharType="begin"/>
        </w:r>
        <w:r w:rsidR="00F60B5F">
          <w:rPr>
            <w:webHidden/>
          </w:rPr>
          <w:instrText xml:space="preserve"> PAGEREF _Toc373751827 \h </w:instrText>
        </w:r>
        <w:r w:rsidR="00F60B5F">
          <w:rPr>
            <w:webHidden/>
          </w:rPr>
        </w:r>
        <w:r w:rsidR="00F60B5F">
          <w:rPr>
            <w:webHidden/>
          </w:rPr>
          <w:fldChar w:fldCharType="separate"/>
        </w:r>
        <w:r w:rsidR="001C5190">
          <w:rPr>
            <w:webHidden/>
          </w:rPr>
          <w:t>84</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8" w:history="1">
        <w:r w:rsidR="00F60B5F" w:rsidRPr="008204D7">
          <w:rPr>
            <w:rStyle w:val="Hyperlink"/>
          </w:rPr>
          <w:t>Note 22:</w:t>
        </w:r>
        <w:r w:rsidR="00F60B5F">
          <w:rPr>
            <w:rFonts w:asciiTheme="minorHAnsi" w:eastAsiaTheme="minorEastAsia" w:hAnsiTheme="minorHAnsi" w:cstheme="minorBidi"/>
            <w:sz w:val="22"/>
            <w:szCs w:val="22"/>
            <w:lang w:eastAsia="en-AU"/>
          </w:rPr>
          <w:tab/>
        </w:r>
        <w:r w:rsidR="00F60B5F" w:rsidRPr="008204D7">
          <w:rPr>
            <w:rStyle w:val="Hyperlink"/>
          </w:rPr>
          <w:t>Reserves</w:t>
        </w:r>
        <w:r w:rsidR="00F60B5F">
          <w:rPr>
            <w:webHidden/>
          </w:rPr>
          <w:tab/>
        </w:r>
        <w:r w:rsidR="00F60B5F">
          <w:rPr>
            <w:webHidden/>
          </w:rPr>
          <w:fldChar w:fldCharType="begin"/>
        </w:r>
        <w:r w:rsidR="00F60B5F">
          <w:rPr>
            <w:webHidden/>
          </w:rPr>
          <w:instrText xml:space="preserve"> PAGEREF _Toc373751828 \h </w:instrText>
        </w:r>
        <w:r w:rsidR="00F60B5F">
          <w:rPr>
            <w:webHidden/>
          </w:rPr>
        </w:r>
        <w:r w:rsidR="00F60B5F">
          <w:rPr>
            <w:webHidden/>
          </w:rPr>
          <w:fldChar w:fldCharType="separate"/>
        </w:r>
        <w:r w:rsidR="001C5190">
          <w:rPr>
            <w:webHidden/>
          </w:rPr>
          <w:t>84</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29" w:history="1">
        <w:r w:rsidR="00F60B5F" w:rsidRPr="008204D7">
          <w:rPr>
            <w:rStyle w:val="Hyperlink"/>
          </w:rPr>
          <w:t>Note 23:</w:t>
        </w:r>
        <w:r w:rsidR="00F60B5F">
          <w:rPr>
            <w:rFonts w:asciiTheme="minorHAnsi" w:eastAsiaTheme="minorEastAsia" w:hAnsiTheme="minorHAnsi" w:cstheme="minorBidi"/>
            <w:sz w:val="22"/>
            <w:szCs w:val="22"/>
            <w:lang w:eastAsia="en-AU"/>
          </w:rPr>
          <w:tab/>
        </w:r>
        <w:r w:rsidR="00F60B5F" w:rsidRPr="008204D7">
          <w:rPr>
            <w:rStyle w:val="Hyperlink"/>
          </w:rPr>
          <w:t>Reconciliations to government finance statistics – derivation of GFS cash/surplus deficit</w:t>
        </w:r>
        <w:r w:rsidR="00F60B5F">
          <w:rPr>
            <w:webHidden/>
          </w:rPr>
          <w:tab/>
        </w:r>
        <w:r w:rsidR="00F60B5F">
          <w:rPr>
            <w:webHidden/>
          </w:rPr>
          <w:fldChar w:fldCharType="begin"/>
        </w:r>
        <w:r w:rsidR="00F60B5F">
          <w:rPr>
            <w:webHidden/>
          </w:rPr>
          <w:instrText xml:space="preserve"> PAGEREF _Toc373751829 \h </w:instrText>
        </w:r>
        <w:r w:rsidR="00F60B5F">
          <w:rPr>
            <w:webHidden/>
          </w:rPr>
        </w:r>
        <w:r w:rsidR="00F60B5F">
          <w:rPr>
            <w:webHidden/>
          </w:rPr>
          <w:fldChar w:fldCharType="separate"/>
        </w:r>
        <w:r w:rsidR="001C5190">
          <w:rPr>
            <w:webHidden/>
          </w:rPr>
          <w:t>84</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30" w:history="1">
        <w:r w:rsidR="00F60B5F" w:rsidRPr="008204D7">
          <w:rPr>
            <w:rStyle w:val="Hyperlink"/>
          </w:rPr>
          <w:t>Note 24:</w:t>
        </w:r>
        <w:r w:rsidR="00F60B5F">
          <w:rPr>
            <w:rFonts w:asciiTheme="minorHAnsi" w:eastAsiaTheme="minorEastAsia" w:hAnsiTheme="minorHAnsi" w:cstheme="minorBidi"/>
            <w:sz w:val="22"/>
            <w:szCs w:val="22"/>
            <w:lang w:eastAsia="en-AU"/>
          </w:rPr>
          <w:tab/>
        </w:r>
        <w:r w:rsidR="00F60B5F" w:rsidRPr="008204D7">
          <w:rPr>
            <w:rStyle w:val="Hyperlink"/>
          </w:rPr>
          <w:t>Financial instruments</w:t>
        </w:r>
        <w:r w:rsidR="00F60B5F">
          <w:rPr>
            <w:webHidden/>
          </w:rPr>
          <w:tab/>
        </w:r>
        <w:r w:rsidR="00F60B5F">
          <w:rPr>
            <w:webHidden/>
          </w:rPr>
          <w:fldChar w:fldCharType="begin"/>
        </w:r>
        <w:r w:rsidR="00F60B5F">
          <w:rPr>
            <w:webHidden/>
          </w:rPr>
          <w:instrText xml:space="preserve"> PAGEREF _Toc373751830 \h </w:instrText>
        </w:r>
        <w:r w:rsidR="00F60B5F">
          <w:rPr>
            <w:webHidden/>
          </w:rPr>
        </w:r>
        <w:r w:rsidR="00F60B5F">
          <w:rPr>
            <w:webHidden/>
          </w:rPr>
          <w:fldChar w:fldCharType="separate"/>
        </w:r>
        <w:r w:rsidR="001C5190">
          <w:rPr>
            <w:webHidden/>
          </w:rPr>
          <w:t>85</w:t>
        </w:r>
        <w:r w:rsidR="00F60B5F">
          <w:rPr>
            <w:webHidden/>
          </w:rPr>
          <w:fldChar w:fldCharType="end"/>
        </w:r>
      </w:hyperlink>
    </w:p>
    <w:p w:rsidR="00F60B5F" w:rsidRDefault="005B6C02">
      <w:pPr>
        <w:pStyle w:val="TOC4"/>
        <w:rPr>
          <w:rFonts w:asciiTheme="minorHAnsi" w:eastAsiaTheme="minorEastAsia" w:hAnsiTheme="minorHAnsi" w:cstheme="minorBidi"/>
          <w:sz w:val="22"/>
          <w:szCs w:val="22"/>
          <w:lang w:eastAsia="en-AU"/>
        </w:rPr>
      </w:pPr>
      <w:hyperlink w:anchor="_Toc373751831" w:history="1">
        <w:r w:rsidR="00F60B5F" w:rsidRPr="008204D7">
          <w:rPr>
            <w:rStyle w:val="Hyperlink"/>
          </w:rPr>
          <w:t>Note 25:</w:t>
        </w:r>
        <w:r w:rsidR="00F60B5F">
          <w:rPr>
            <w:rFonts w:asciiTheme="minorHAnsi" w:eastAsiaTheme="minorEastAsia" w:hAnsiTheme="minorHAnsi" w:cstheme="minorBidi"/>
            <w:sz w:val="22"/>
            <w:szCs w:val="22"/>
            <w:lang w:eastAsia="en-AU"/>
          </w:rPr>
          <w:tab/>
        </w:r>
        <w:r w:rsidR="00F60B5F" w:rsidRPr="008204D7">
          <w:rPr>
            <w:rStyle w:val="Hyperlink"/>
          </w:rPr>
          <w:t>Controlled entities</w:t>
        </w:r>
        <w:r w:rsidR="00F60B5F">
          <w:rPr>
            <w:webHidden/>
          </w:rPr>
          <w:tab/>
        </w:r>
        <w:r w:rsidR="00F60B5F">
          <w:rPr>
            <w:webHidden/>
          </w:rPr>
          <w:fldChar w:fldCharType="begin"/>
        </w:r>
        <w:r w:rsidR="00F60B5F">
          <w:rPr>
            <w:webHidden/>
          </w:rPr>
          <w:instrText xml:space="preserve"> PAGEREF _Toc373751831 \h </w:instrText>
        </w:r>
        <w:r w:rsidR="00F60B5F">
          <w:rPr>
            <w:webHidden/>
          </w:rPr>
        </w:r>
        <w:r w:rsidR="00F60B5F">
          <w:rPr>
            <w:webHidden/>
          </w:rPr>
          <w:fldChar w:fldCharType="separate"/>
        </w:r>
        <w:r w:rsidR="001C5190">
          <w:rPr>
            <w:webHidden/>
          </w:rPr>
          <w:t>85</w:t>
        </w:r>
        <w:r w:rsidR="00F60B5F">
          <w:rPr>
            <w:webHidden/>
          </w:rPr>
          <w:fldChar w:fldCharType="end"/>
        </w:r>
      </w:hyperlink>
    </w:p>
    <w:p w:rsidR="00F60B5F" w:rsidRPr="00B56B1C" w:rsidRDefault="00F60B5F" w:rsidP="00F16240">
      <w:r w:rsidRPr="00B56B1C">
        <w:fldChar w:fldCharType="end"/>
      </w:r>
    </w:p>
    <w:p w:rsidR="00F60B5F" w:rsidRPr="00B56B1C" w:rsidRDefault="00F60B5F">
      <w:pPr>
        <w:spacing w:after="0"/>
        <w:rPr>
          <w:rFonts w:ascii="Calibri" w:hAnsi="Calibri"/>
          <w:b/>
          <w:kern w:val="28"/>
          <w:sz w:val="26"/>
          <w:szCs w:val="22"/>
        </w:rPr>
      </w:pPr>
      <w:r w:rsidRPr="00B56B1C">
        <w:br w:type="page"/>
      </w:r>
    </w:p>
    <w:p w:rsidR="00F60B5F" w:rsidRDefault="00F60B5F" w:rsidP="005C19CE">
      <w:pPr>
        <w:pStyle w:val="Heading2Notes"/>
      </w:pPr>
      <w:bookmarkStart w:id="26" w:name="_Toc373751807"/>
      <w:r>
        <w:t>Note 1:</w:t>
      </w:r>
      <w:r>
        <w:tab/>
        <w:t>Statement of significant accounting policies and forecast assumptions</w:t>
      </w:r>
      <w:bookmarkEnd w:id="26"/>
    </w:p>
    <w:p w:rsidR="00F60B5F" w:rsidRPr="00DF427C" w:rsidRDefault="00F60B5F" w:rsidP="005C19CE">
      <w:r w:rsidRPr="00DF427C">
        <w:t xml:space="preserve">The following summary sets out the basis applied in the preparation and presentation of these updated </w:t>
      </w:r>
      <w:r>
        <w:t>estimated financial statements</w:t>
      </w:r>
      <w:r w:rsidRPr="00DF427C">
        <w:t>, which include</w:t>
      </w:r>
      <w:r>
        <w:t>s</w:t>
      </w:r>
      <w:r w:rsidRPr="00DF427C">
        <w:t xml:space="preserve"> the budget year and the estimates for the three subsequent years</w:t>
      </w:r>
      <w:r>
        <w:t xml:space="preserve"> </w:t>
      </w:r>
      <w:r w:rsidRPr="00F71338">
        <w:t>(referred to as the budget and forward esti</w:t>
      </w:r>
      <w:r>
        <w:t>mates period)</w:t>
      </w:r>
      <w:r w:rsidRPr="00DF427C">
        <w:t>.</w:t>
      </w:r>
    </w:p>
    <w:p w:rsidR="00F60B5F" w:rsidRPr="00DF427C" w:rsidRDefault="00F60B5F" w:rsidP="005C19CE">
      <w:r w:rsidRPr="00DF427C">
        <w:t xml:space="preserve">Except as disclosed below, the accounting policies and forecast assumptions applied are consistent with those of the </w:t>
      </w:r>
      <w:r>
        <w:t>estimated financial statements as published in the 2013</w:t>
      </w:r>
      <w:r>
        <w:noBreakHyphen/>
        <w:t>14</w:t>
      </w:r>
      <w:r w:rsidRPr="00DF427C">
        <w:t xml:space="preserve"> Budget Paper No. 5 </w:t>
      </w:r>
      <w:r w:rsidRPr="00DF427C">
        <w:rPr>
          <w:i/>
        </w:rPr>
        <w:t>Statement of Finances</w:t>
      </w:r>
      <w:r w:rsidRPr="00DF427C">
        <w:t>, which should be read in conjunction with this update. For further details of the accounting policies, refer to Note 1</w:t>
      </w:r>
      <w:r>
        <w:t xml:space="preserve"> of Chapter 4</w:t>
      </w:r>
      <w:r w:rsidRPr="00DF427C">
        <w:rPr>
          <w:i/>
        </w:rPr>
        <w:t xml:space="preserve"> Annual Financial Report </w:t>
      </w:r>
      <w:r>
        <w:t>of</w:t>
      </w:r>
      <w:r w:rsidRPr="00DF427C">
        <w:t xml:space="preserve"> the </w:t>
      </w:r>
      <w:r>
        <w:rPr>
          <w:i/>
        </w:rPr>
        <w:t>2012</w:t>
      </w:r>
      <w:r>
        <w:rPr>
          <w:i/>
        </w:rPr>
        <w:noBreakHyphen/>
        <w:t>13</w:t>
      </w:r>
      <w:r w:rsidRPr="00DF427C">
        <w:rPr>
          <w:i/>
        </w:rPr>
        <w:t xml:space="preserve"> Financial Report</w:t>
      </w:r>
      <w:r w:rsidRPr="00DF427C">
        <w:t xml:space="preserve"> as presented to Parliament.</w:t>
      </w:r>
    </w:p>
    <w:p w:rsidR="00F60B5F" w:rsidRPr="00DF427C" w:rsidRDefault="00F60B5F" w:rsidP="005C19CE">
      <w:r w:rsidRPr="00DF427C">
        <w:t xml:space="preserve">To gain a better understanding of the terminology and key aggregates used in this report, a glossary </w:t>
      </w:r>
      <w:r>
        <w:t>of terms can be found in Note 39</w:t>
      </w:r>
      <w:r w:rsidRPr="00DF427C">
        <w:t xml:space="preserve"> of </w:t>
      </w:r>
      <w:r>
        <w:t>Chapter 4</w:t>
      </w:r>
      <w:r w:rsidRPr="00DF427C">
        <w:rPr>
          <w:i/>
        </w:rPr>
        <w:t xml:space="preserve"> Annual Financial Report</w:t>
      </w:r>
      <w:r>
        <w:rPr>
          <w:i/>
        </w:rPr>
        <w:t xml:space="preserve"> </w:t>
      </w:r>
      <w:r w:rsidRPr="00E63979">
        <w:t>of the</w:t>
      </w:r>
      <w:r>
        <w:rPr>
          <w:i/>
        </w:rPr>
        <w:t xml:space="preserve"> 2012</w:t>
      </w:r>
      <w:r>
        <w:rPr>
          <w:i/>
        </w:rPr>
        <w:noBreakHyphen/>
        <w:t>13 Financial Report</w:t>
      </w:r>
      <w:r w:rsidRPr="00DF427C">
        <w:t>.</w:t>
      </w:r>
    </w:p>
    <w:p w:rsidR="00F60B5F" w:rsidRPr="00F60B5F" w:rsidRDefault="00F60B5F" w:rsidP="00F60B5F">
      <w:pPr>
        <w:pStyle w:val="Heading3Numbering"/>
        <w:rPr>
          <w:rStyle w:val="Heading3NumberingChar"/>
          <w:b/>
          <w:i/>
        </w:rPr>
      </w:pPr>
      <w:r w:rsidRPr="00F60B5F">
        <w:rPr>
          <w:rStyle w:val="Heading3NumberingChar"/>
          <w:b/>
          <w:i/>
        </w:rPr>
        <w:t>Statement of compliance</w:t>
      </w:r>
    </w:p>
    <w:p w:rsidR="00F60B5F" w:rsidRPr="00DF427C" w:rsidRDefault="00F60B5F" w:rsidP="005C19CE">
      <w:r w:rsidRPr="00DF427C">
        <w:t xml:space="preserve">These </w:t>
      </w:r>
      <w:r>
        <w:t>estimated financial statements</w:t>
      </w:r>
      <w:r w:rsidRPr="00DF427C">
        <w:t xml:space="preserve"> have been prepared in accordance with </w:t>
      </w:r>
      <w:r w:rsidRPr="002B0AFF">
        <w:t>Section 23L</w:t>
      </w:r>
      <w:r w:rsidRPr="00DF427C">
        <w:t xml:space="preserve"> of the </w:t>
      </w:r>
      <w:r w:rsidRPr="00DF427C">
        <w:rPr>
          <w:i/>
        </w:rPr>
        <w:t>Financial Management Act 1994</w:t>
      </w:r>
      <w:r w:rsidRPr="00DF427C">
        <w:t>, having regard to Austr</w:t>
      </w:r>
      <w:r>
        <w:t>alian Accounting Standards (AAS). AAS</w:t>
      </w:r>
      <w:r w:rsidRPr="00DF427C">
        <w:t xml:space="preserve"> include Interpretations issued by the Australian Accounting Standards Board (AASB). </w:t>
      </w:r>
    </w:p>
    <w:p w:rsidR="00F60B5F" w:rsidRPr="00DF427C" w:rsidRDefault="00F60B5F" w:rsidP="005C19CE">
      <w:r w:rsidRPr="00DF427C">
        <w:t xml:space="preserve">The </w:t>
      </w:r>
      <w:r>
        <w:t>estimated financial statements</w:t>
      </w:r>
      <w:r w:rsidRPr="00DF427C">
        <w:t xml:space="preserve"> are presented in a manner consistent with the principles of </w:t>
      </w:r>
      <w:r>
        <w:t>AASB </w:t>
      </w:r>
      <w:r w:rsidRPr="00DF427C">
        <w:t xml:space="preserve">1049 </w:t>
      </w:r>
      <w:r w:rsidRPr="00DF427C">
        <w:rPr>
          <w:i/>
        </w:rPr>
        <w:t>Whole of Government and General Government Sector Financial Reporting</w:t>
      </w:r>
      <w:r w:rsidRPr="00DF427C">
        <w:t xml:space="preserve"> (</w:t>
      </w:r>
      <w:r>
        <w:t>AASB </w:t>
      </w:r>
      <w:r w:rsidRPr="00DF427C">
        <w:t xml:space="preserve">1049). However, the prospective nature of these </w:t>
      </w:r>
      <w:r>
        <w:t>estimated financial statements</w:t>
      </w:r>
      <w:r w:rsidRPr="00DF427C">
        <w:t xml:space="preserve"> means that some AAS disclosures are neither relevant nor practical, and have been omitted. Where appropriate, those AAS paragraphs relevant to not</w:t>
      </w:r>
      <w:r>
        <w:noBreakHyphen/>
      </w:r>
      <w:r w:rsidRPr="00DF427C">
        <w:t>for</w:t>
      </w:r>
      <w:r>
        <w:noBreakHyphen/>
      </w:r>
      <w:r w:rsidRPr="00DF427C">
        <w:t>profit</w:t>
      </w:r>
      <w:r>
        <w:t xml:space="preserve"> </w:t>
      </w:r>
      <w:r w:rsidRPr="00DF427C">
        <w:t>entities</w:t>
      </w:r>
      <w:r>
        <w:t xml:space="preserve"> have been applied. Because AAS</w:t>
      </w:r>
      <w:r w:rsidRPr="00DF427C">
        <w:t xml:space="preserve"> do not include pronouncements that prescribe the preparation and presentation of prospective financial statements, the </w:t>
      </w:r>
      <w:r>
        <w:t>estimated financial statements</w:t>
      </w:r>
      <w:r w:rsidRPr="00DF427C">
        <w:t xml:space="preserve"> have been prepared having regard to the principles set out in New Zealand Financial Reporting Standard 42 </w:t>
      </w:r>
      <w:r w:rsidRPr="00DF427C">
        <w:rPr>
          <w:i/>
        </w:rPr>
        <w:t>Prospective Financial Statements.</w:t>
      </w:r>
    </w:p>
    <w:p w:rsidR="00F60B5F" w:rsidRPr="00322106" w:rsidRDefault="00F60B5F" w:rsidP="005C19CE">
      <w:pPr>
        <w:rPr>
          <w:i/>
        </w:rPr>
      </w:pPr>
      <w:r w:rsidRPr="00DF427C">
        <w:t xml:space="preserve">The Government Finance Statistics (GFS) information included in this report is based on the GFS manual published by the Australian Bureau of Statistics (ABS) </w:t>
      </w:r>
      <w:r w:rsidRPr="00DF427C">
        <w:rPr>
          <w:i/>
        </w:rPr>
        <w:t xml:space="preserve">Australian System of Government Finance Statistics: Concepts, Sources and Methods 2005 </w:t>
      </w:r>
      <w:r w:rsidRPr="00322106">
        <w:rPr>
          <w:i/>
        </w:rPr>
        <w:t>Cat</w:t>
      </w:r>
      <w:r>
        <w:t xml:space="preserve">. </w:t>
      </w:r>
      <w:r w:rsidRPr="00322106">
        <w:rPr>
          <w:i/>
        </w:rPr>
        <w:t>No. 5514.0.</w:t>
      </w:r>
    </w:p>
    <w:p w:rsidR="00F60B5F" w:rsidRPr="00DF427C" w:rsidRDefault="00F60B5F" w:rsidP="005C19CE">
      <w:r w:rsidRPr="00DF427C">
        <w:t xml:space="preserve">The information presented in the </w:t>
      </w:r>
      <w:r>
        <w:t>estimated financial statements</w:t>
      </w:r>
      <w:r w:rsidRPr="00DF427C">
        <w:t xml:space="preserve"> takes into account all policy decisions taken by the Victorian Government, as well as known Commonwealth Government funding revisions and circumstances that may have a material effect on the </w:t>
      </w:r>
      <w:r>
        <w:t xml:space="preserve">estimated financial statements as at </w:t>
      </w:r>
      <w:r w:rsidRPr="00F857D3">
        <w:t>2 December 2013</w:t>
      </w:r>
      <w:r w:rsidRPr="00DF427C">
        <w:t xml:space="preserve">. </w:t>
      </w:r>
    </w:p>
    <w:p w:rsidR="00F60B5F" w:rsidRPr="00DF427C" w:rsidRDefault="00F60B5F" w:rsidP="005C19CE">
      <w:pPr>
        <w:pStyle w:val="Heading3Numbering"/>
      </w:pPr>
      <w:r w:rsidRPr="00DF427C">
        <w:t>Basis of accounting, preparation and measurement</w:t>
      </w:r>
    </w:p>
    <w:p w:rsidR="00F60B5F" w:rsidRPr="00DF427C" w:rsidRDefault="00F60B5F" w:rsidP="005C19CE">
      <w:r w:rsidRPr="00DF427C">
        <w:t xml:space="preserve">The </w:t>
      </w:r>
      <w:r>
        <w:t>estimated financial statements have been prepared for the 2013</w:t>
      </w:r>
      <w:r>
        <w:noBreakHyphen/>
        <w:t>14</w:t>
      </w:r>
      <w:r w:rsidRPr="00DF427C">
        <w:t xml:space="preserve"> year in accordance with accounting policies expected to be used in preparing historically oriented general purpose financial statements for that year, and the same accounting policies have been used for the subsequent </w:t>
      </w:r>
      <w:r>
        <w:t xml:space="preserve">forecast </w:t>
      </w:r>
      <w:r w:rsidRPr="00DF427C">
        <w:t>years.</w:t>
      </w:r>
    </w:p>
    <w:p w:rsidR="00F60B5F" w:rsidRPr="00AE6010" w:rsidRDefault="00F60B5F" w:rsidP="00AE6010">
      <w:pPr>
        <w:pStyle w:val="Heading2NotesContd"/>
        <w:rPr>
          <w:i/>
        </w:rPr>
      </w:pPr>
      <w:r>
        <w:t>Note 1:</w:t>
      </w:r>
      <w:r>
        <w:tab/>
        <w:t xml:space="preserve">Statement of significant accounting policies and forecast assumptions </w:t>
      </w:r>
      <w:r>
        <w:rPr>
          <w:i/>
        </w:rPr>
        <w:t>(continued)</w:t>
      </w:r>
    </w:p>
    <w:p w:rsidR="00F60B5F" w:rsidRPr="00DF427C" w:rsidRDefault="00F60B5F" w:rsidP="005C19CE">
      <w:r w:rsidRPr="00DF427C">
        <w:t xml:space="preserve">The accrual basis of accounting has been applied in the preparation of the </w:t>
      </w:r>
      <w:r>
        <w:t>estimated financial statements</w:t>
      </w:r>
      <w:r w:rsidRPr="00DF427C">
        <w:t xml:space="preserve"> whereby assets, liabilities, equity, revenue and expenses are recognised in the reporting period to which they relate, regardless of when cash is received or paid.</w:t>
      </w:r>
    </w:p>
    <w:p w:rsidR="00F60B5F" w:rsidRPr="00DF427C" w:rsidRDefault="00F60B5F" w:rsidP="005C19CE">
      <w:r w:rsidRPr="00DF427C">
        <w:t xml:space="preserve">The </w:t>
      </w:r>
      <w:r>
        <w:t>estimated financial statements</w:t>
      </w:r>
      <w:r w:rsidRPr="00DF427C">
        <w:t xml:space="preserve"> are presented in Australian dollars which is also the functional currency of the Victorian general government sector.</w:t>
      </w:r>
    </w:p>
    <w:p w:rsidR="00F60B5F" w:rsidRPr="00DF427C" w:rsidRDefault="00F60B5F" w:rsidP="005C19CE">
      <w:r w:rsidRPr="00DF427C">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Actual results may differ from these estimates. Revisions to accounting estimates are recognised in the period in which the estimate is revised and also in future periods that are affected by the revision. </w:t>
      </w:r>
    </w:p>
    <w:p w:rsidR="00F60B5F" w:rsidRPr="00DF427C" w:rsidRDefault="00F60B5F" w:rsidP="005C19CE">
      <w:r w:rsidRPr="00DF427C">
        <w:t xml:space="preserve">The </w:t>
      </w:r>
      <w:r>
        <w:t>estimated financial statements</w:t>
      </w:r>
      <w:r w:rsidRPr="00DF427C">
        <w:t xml:space="preserve"> have been prepared in accordance with the historical cost convention. Historical cost is based on the fair values of the consideration given in exchange for assets. Exceptions to the historical cost convention include:</w:t>
      </w:r>
    </w:p>
    <w:p w:rsidR="00F60B5F" w:rsidRPr="00DF427C" w:rsidRDefault="00F60B5F" w:rsidP="00AE6010">
      <w:pPr>
        <w:pStyle w:val="BulletText"/>
        <w:spacing w:after="80"/>
      </w:pPr>
      <w:r w:rsidRPr="00DF427C">
        <w:t xml:space="preserve">general government sector investments in other sector entities </w:t>
      </w:r>
      <w:r>
        <w:t>that</w:t>
      </w:r>
      <w:r w:rsidRPr="00DF427C">
        <w:t xml:space="preserve"> are measured at the proportional share of net asset value;</w:t>
      </w:r>
    </w:p>
    <w:p w:rsidR="00F60B5F" w:rsidRPr="00DF427C" w:rsidRDefault="00F60B5F" w:rsidP="00AE6010">
      <w:pPr>
        <w:pStyle w:val="BulletText"/>
        <w:spacing w:after="80"/>
      </w:pPr>
      <w:r w:rsidRPr="00DF427C">
        <w:t>non</w:t>
      </w:r>
      <w:r>
        <w:noBreakHyphen/>
      </w:r>
      <w:r w:rsidRPr="00DF427C">
        <w:t xml:space="preserve">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 </w:t>
      </w:r>
    </w:p>
    <w:p w:rsidR="00F60B5F" w:rsidRPr="00DF427C" w:rsidRDefault="00F60B5F" w:rsidP="00AE6010">
      <w:pPr>
        <w:pStyle w:val="BulletText"/>
        <w:spacing w:after="80"/>
      </w:pPr>
      <w:r w:rsidRPr="00DF427C">
        <w:t>productive trees in commercial native forests, which are recognised at their fair value less costs to sell;</w:t>
      </w:r>
    </w:p>
    <w:p w:rsidR="00F60B5F" w:rsidRPr="00DF427C" w:rsidRDefault="00F60B5F" w:rsidP="00AE6010">
      <w:pPr>
        <w:pStyle w:val="BulletText"/>
        <w:spacing w:after="80"/>
      </w:pPr>
      <w:r w:rsidRPr="00DF427C">
        <w:t>derivative financial instruments, managed investment schemes, certain debt securities and investment properties after initial recognition, which are measured at fair value with changes reflected in the estimated comprehe</w:t>
      </w:r>
      <w:r>
        <w:t>nsive operating statement (fair </w:t>
      </w:r>
      <w:r w:rsidRPr="00DF427C">
        <w:t xml:space="preserve">value through profit and loss); </w:t>
      </w:r>
    </w:p>
    <w:p w:rsidR="00F60B5F" w:rsidRPr="00DF427C" w:rsidRDefault="00F60B5F" w:rsidP="00AE6010">
      <w:pPr>
        <w:pStyle w:val="BulletText"/>
        <w:spacing w:after="80"/>
      </w:pPr>
      <w:r w:rsidRPr="00DF427C">
        <w:t>certain liabilities, most notably unfunded superannuation and some insurance claim provisions, which are subject to an actuarial assessment; and</w:t>
      </w:r>
    </w:p>
    <w:p w:rsidR="00F60B5F" w:rsidRPr="00DF427C" w:rsidRDefault="00F60B5F" w:rsidP="005C19CE">
      <w:pPr>
        <w:pStyle w:val="BulletText"/>
      </w:pPr>
      <w:r w:rsidRPr="00DF427C">
        <w:t>available</w:t>
      </w:r>
      <w:r>
        <w:noBreakHyphen/>
      </w:r>
      <w:r w:rsidRPr="00DF427C">
        <w:t>for</w:t>
      </w:r>
      <w:r>
        <w:noBreakHyphen/>
      </w:r>
      <w:r w:rsidRPr="00DF427C">
        <w:t xml:space="preserve">sale investments which are measured at fair value with movements reflected in ‘Other economic flows – other </w:t>
      </w:r>
      <w:r>
        <w:t>comprehensive income</w:t>
      </w:r>
      <w:r w:rsidRPr="00DF427C">
        <w:t>’.</w:t>
      </w:r>
    </w:p>
    <w:p w:rsidR="00F60B5F" w:rsidRPr="00DF427C" w:rsidRDefault="00F60B5F" w:rsidP="005C19CE">
      <w:r w:rsidRPr="00DF427C">
        <w:t xml:space="preserve">As required by </w:t>
      </w:r>
      <w:r>
        <w:t>AASB </w:t>
      </w:r>
      <w:r w:rsidRPr="00DF427C">
        <w:t xml:space="preserve">1049, the </w:t>
      </w:r>
      <w:r>
        <w:t>estimated</w:t>
      </w:r>
      <w:r w:rsidRPr="00DF427C">
        <w:t xml:space="preserve"> comprehensive operating statement distinguishes between ‘transactions’ and ‘other economic flows’ based on the principles in the ABS GFS manual. Transactions are defined as economic flows that arise as a result of government policy decisions, usually an interaction between two entities by mutual agreement. Taxation is regarded under GFS as mutually agreed between the government and the taxpayer. Transactions also include flows within an organisation such as depreciation because the owner is seen as simultaneously acting as the owner of the depreciating asset and the consumer of the service provided by the asset. Transactions may be settled in kind or for cash.</w:t>
      </w:r>
    </w:p>
    <w:p w:rsidR="00F60B5F" w:rsidRPr="00AE6010" w:rsidRDefault="00F60B5F" w:rsidP="00AE6010">
      <w:pPr>
        <w:pStyle w:val="Heading2NotesContd"/>
        <w:rPr>
          <w:i/>
        </w:rPr>
      </w:pPr>
      <w:r>
        <w:t>Note 1:</w:t>
      </w:r>
      <w:r>
        <w:tab/>
        <w:t xml:space="preserve">Statement of significant accounting policies and forecast assumptions </w:t>
      </w:r>
      <w:r>
        <w:rPr>
          <w:i/>
        </w:rPr>
        <w:t>(continued)</w:t>
      </w:r>
    </w:p>
    <w:p w:rsidR="00F60B5F" w:rsidRPr="00DF427C" w:rsidRDefault="00F60B5F" w:rsidP="005C19CE">
      <w:r>
        <w:t>E</w:t>
      </w:r>
      <w:r w:rsidRPr="00DF427C">
        <w:t>conomic flows are changes arising from market remeasurements or other changes in the volume of assets. They include gains and losses from disposals, revaluations and impairments of non</w:t>
      </w:r>
      <w:r>
        <w:noBreakHyphen/>
      </w:r>
      <w:r w:rsidRPr="00DF427C">
        <w:t>financial physical and intangible assets, actuarial gains and losses arising from defined benefit superannuation plans, fair value changes of financial instruments and agricultural assets, and depletion of natural assets (non</w:t>
      </w:r>
      <w:r>
        <w:noBreakHyphen/>
      </w:r>
      <w:r w:rsidRPr="00DF427C">
        <w:t>produced) from their use or removal.</w:t>
      </w:r>
    </w:p>
    <w:p w:rsidR="00F60B5F" w:rsidRPr="00DF427C" w:rsidRDefault="00F60B5F" w:rsidP="005C19CE">
      <w:pPr>
        <w:pStyle w:val="Heading3Numbering"/>
      </w:pPr>
      <w:r w:rsidRPr="00DF427C">
        <w:t>Reporting entity</w:t>
      </w:r>
    </w:p>
    <w:p w:rsidR="00F60B5F" w:rsidRPr="00DF427C" w:rsidRDefault="00F60B5F" w:rsidP="005C19CE">
      <w:r w:rsidRPr="00DF427C">
        <w:t xml:space="preserve">The </w:t>
      </w:r>
      <w:r>
        <w:t>estimated financial statements</w:t>
      </w:r>
      <w:r w:rsidRPr="00DF427C">
        <w:t xml:space="preserve"> are prepared for the Victorian general government sector which includes all government departments, offices and other bodies engaged in providing services free of charge or at prices significantly below their cost of production. The primary function of entities </w:t>
      </w:r>
      <w:r>
        <w:t>in</w:t>
      </w:r>
      <w:r w:rsidRPr="00DF427C">
        <w:t xml:space="preserve"> the Victorian general government sector is to provide public services (outputs), which are mainly non</w:t>
      </w:r>
      <w:r>
        <w:noBreakHyphen/>
      </w:r>
      <w:r w:rsidRPr="00DF427C">
        <w:t xml:space="preserve">market in nature, for the collective consumption of the community, and involve the transfer or redistribution of revenue that is financed mainly through taxes and other compulsory levies. </w:t>
      </w:r>
    </w:p>
    <w:p w:rsidR="00F60B5F" w:rsidRPr="00DF427C" w:rsidRDefault="00F60B5F" w:rsidP="005C19CE">
      <w:r w:rsidRPr="00DF427C">
        <w:t>The Victorian general government sector is not a separate entity but represents a sector within the State of Victoria whole of government reporting entity. Unless otherwise noted, accounting policies applied by the State apply equally to the Victorian general government sector.</w:t>
      </w:r>
    </w:p>
    <w:p w:rsidR="00F60B5F" w:rsidRPr="00DF427C" w:rsidRDefault="00F60B5F" w:rsidP="005C19CE">
      <w:pPr>
        <w:pStyle w:val="Heading3Numbering"/>
      </w:pPr>
      <w:r w:rsidRPr="00DF427C">
        <w:t>Basis of consolidation</w:t>
      </w:r>
    </w:p>
    <w:p w:rsidR="00F60B5F" w:rsidRPr="00DF427C" w:rsidRDefault="00F60B5F" w:rsidP="005C19CE">
      <w:r w:rsidRPr="00DF427C">
        <w:t xml:space="preserve">The </w:t>
      </w:r>
      <w:r>
        <w:t>estimated financial statements</w:t>
      </w:r>
      <w:r w:rsidRPr="00DF427C">
        <w:t xml:space="preserve"> present the consolidated assets and liabilities of all reporting entities in the Victorian general government sector, and their revenue, gains and expenses for the respective period, consistent with the principles of </w:t>
      </w:r>
      <w:r>
        <w:t>AASB </w:t>
      </w:r>
      <w:r w:rsidRPr="00DF427C">
        <w:t xml:space="preserve">1049 and </w:t>
      </w:r>
      <w:r>
        <w:t>AASB </w:t>
      </w:r>
      <w:r w:rsidRPr="00DF427C">
        <w:t xml:space="preserve">127 </w:t>
      </w:r>
      <w:r w:rsidRPr="00DF427C">
        <w:rPr>
          <w:i/>
        </w:rPr>
        <w:t>Consolidated and Separate Financial Statements.</w:t>
      </w:r>
    </w:p>
    <w:p w:rsidR="00F60B5F" w:rsidRPr="00DF427C" w:rsidRDefault="00F60B5F" w:rsidP="005C19CE">
      <w:r w:rsidRPr="00DF427C">
        <w:t>Entities in the public non</w:t>
      </w:r>
      <w:r>
        <w:noBreakHyphen/>
      </w:r>
      <w:r w:rsidRPr="00DF427C">
        <w:t>financial corporations (PNFC) and public financial corporations (PFC) sectors are not consolidated into the financial statements of the Victorian general government sector, but are accounted for as equity investments measured at the Government’s proportional share of the carry</w:t>
      </w:r>
      <w:r>
        <w:t>ing amount of net assets of PNFC and PFC </w:t>
      </w:r>
      <w:r w:rsidRPr="00DF427C">
        <w:t xml:space="preserve">sector entities before consolidation eliminations. Where the carrying amount of </w:t>
      </w:r>
      <w:r>
        <w:t>an entity</w:t>
      </w:r>
      <w:r w:rsidRPr="00DF427C">
        <w:t>’</w:t>
      </w:r>
      <w:r>
        <w:t>s</w:t>
      </w:r>
      <w:r w:rsidRPr="00DF427C">
        <w:t xml:space="preserve"> net assets before consolidation eliminations is less than zero, the amount is not included. Any change in the carrying amount of the investment from period to period is accounted for as if the change </w:t>
      </w:r>
      <w:r>
        <w:t xml:space="preserve">in carrying amount </w:t>
      </w:r>
      <w:r w:rsidRPr="00DF427C">
        <w:t xml:space="preserve">is a change in fair value and accounted for in a manner consistent with </w:t>
      </w:r>
      <w:r>
        <w:t>AASB </w:t>
      </w:r>
      <w:r w:rsidRPr="00DF427C">
        <w:t>139</w:t>
      </w:r>
      <w:r w:rsidRPr="00DF427C">
        <w:rPr>
          <w:i/>
        </w:rPr>
        <w:t xml:space="preserve"> Financial Instruments: Recognition and Measurement</w:t>
      </w:r>
      <w:r w:rsidRPr="00DF427C">
        <w:t xml:space="preserve"> and </w:t>
      </w:r>
      <w:r>
        <w:t>AASB </w:t>
      </w:r>
      <w:r w:rsidRPr="00DF427C">
        <w:t>1049.</w:t>
      </w:r>
    </w:p>
    <w:p w:rsidR="00F60B5F" w:rsidRPr="00DF427C" w:rsidRDefault="00F60B5F" w:rsidP="005C19CE">
      <w:r w:rsidRPr="00DF427C">
        <w:t xml:space="preserve">Where control of an entity is expected to be obtained during the financial period, its results are included in the estimated comprehensive operating statement from the date on which control will commence. Where control is expected to cease during a financial period, the entity’s results are included for that part of the period for which control would exist. Where dissimilar accounting policies are adopted by entities and their effect is considered material, adjustments are made to ensure consistent policies are adopted in the </w:t>
      </w:r>
      <w:r>
        <w:t>estimated financial statements</w:t>
      </w:r>
      <w:r w:rsidRPr="00DF427C">
        <w:t>.</w:t>
      </w:r>
    </w:p>
    <w:p w:rsidR="00F60B5F" w:rsidRPr="00AE6010" w:rsidRDefault="00F60B5F" w:rsidP="00AE6010">
      <w:pPr>
        <w:pStyle w:val="Heading2NotesContd"/>
        <w:rPr>
          <w:i/>
        </w:rPr>
      </w:pPr>
      <w:r>
        <w:t>Note 1:</w:t>
      </w:r>
      <w:r>
        <w:tab/>
        <w:t xml:space="preserve">Statement of significant accounting policies and forecast assumptions </w:t>
      </w:r>
      <w:r>
        <w:rPr>
          <w:i/>
        </w:rPr>
        <w:t>(continued)</w:t>
      </w:r>
    </w:p>
    <w:p w:rsidR="00F60B5F" w:rsidRPr="00DF427C" w:rsidRDefault="00F60B5F" w:rsidP="005C19CE">
      <w:r w:rsidRPr="00DF427C">
        <w:t>In the process of reporting the Victorian general government sector, all material transactions and balances between entities within the sector are eliminated.</w:t>
      </w:r>
    </w:p>
    <w:p w:rsidR="00F60B5F" w:rsidRPr="00DF427C" w:rsidRDefault="00F60B5F" w:rsidP="005C19CE">
      <w:r w:rsidRPr="00DF427C">
        <w:t xml:space="preserve">The significant entities consolidated within the sector comprise those entities listed in </w:t>
      </w:r>
      <w:r>
        <w:t xml:space="preserve">Note 41 of Chapter 4 </w:t>
      </w:r>
      <w:r w:rsidRPr="002F28B8">
        <w:rPr>
          <w:i/>
        </w:rPr>
        <w:t>Annual Financial Report</w:t>
      </w:r>
      <w:r>
        <w:t xml:space="preserve"> of</w:t>
      </w:r>
      <w:r w:rsidRPr="00DF427C">
        <w:t xml:space="preserve"> </w:t>
      </w:r>
      <w:r>
        <w:t xml:space="preserve">the </w:t>
      </w:r>
      <w:r>
        <w:rPr>
          <w:i/>
        </w:rPr>
        <w:t>2012</w:t>
      </w:r>
      <w:r>
        <w:rPr>
          <w:i/>
        </w:rPr>
        <w:noBreakHyphen/>
        <w:t>13 </w:t>
      </w:r>
      <w:r w:rsidRPr="00DF427C">
        <w:rPr>
          <w:i/>
        </w:rPr>
        <w:t>Financial Report</w:t>
      </w:r>
      <w:r w:rsidRPr="00DF427C">
        <w:t xml:space="preserve">, except as stated in </w:t>
      </w:r>
      <w:r w:rsidRPr="00225A57">
        <w:t>Note 25</w:t>
      </w:r>
      <w:r>
        <w:t xml:space="preserve"> of the</w:t>
      </w:r>
      <w:r w:rsidRPr="00DF427C">
        <w:t xml:space="preserve"> </w:t>
      </w:r>
      <w:r>
        <w:t>estimated financial statements</w:t>
      </w:r>
      <w:r w:rsidRPr="00DF427C">
        <w:t>.</w:t>
      </w:r>
    </w:p>
    <w:p w:rsidR="00F60B5F" w:rsidRPr="00DF427C" w:rsidRDefault="00F60B5F" w:rsidP="005C19CE">
      <w:pPr>
        <w:pStyle w:val="Heading3Numbering"/>
      </w:pPr>
      <w:r w:rsidRPr="00DF427C">
        <w:t>Rounding</w:t>
      </w:r>
    </w:p>
    <w:p w:rsidR="00F60B5F" w:rsidRPr="00DF427C" w:rsidRDefault="00F60B5F" w:rsidP="005C19CE">
      <w:r w:rsidRPr="00DF427C">
        <w:t xml:space="preserve">All amounts in the </w:t>
      </w:r>
      <w:r>
        <w:t>estimated financial statements</w:t>
      </w:r>
      <w:r w:rsidRPr="00DF427C">
        <w:t xml:space="preserve"> have been rounded to the nearest $100 000 unless otherwise stated. Figures in the </w:t>
      </w:r>
      <w:r>
        <w:t>estimated financial statements</w:t>
      </w:r>
      <w:r w:rsidRPr="00DF427C">
        <w:t xml:space="preserve"> may not add due to rounding.</w:t>
      </w:r>
    </w:p>
    <w:p w:rsidR="00F60B5F" w:rsidRPr="006F370A" w:rsidRDefault="00F60B5F" w:rsidP="005C19CE">
      <w:pPr>
        <w:pStyle w:val="Heading3Numbering"/>
      </w:pPr>
      <w:r w:rsidRPr="006F370A">
        <w:t>Key financial measure</w:t>
      </w:r>
    </w:p>
    <w:p w:rsidR="00F60B5F" w:rsidRPr="00DF427C" w:rsidRDefault="00F60B5F" w:rsidP="005C19CE">
      <w:pPr>
        <w:autoSpaceDE w:val="0"/>
        <w:autoSpaceDN w:val="0"/>
        <w:adjustRightInd w:val="0"/>
        <w:rPr>
          <w:rFonts w:cs="Garamond"/>
          <w:szCs w:val="22"/>
        </w:rPr>
      </w:pPr>
      <w:r w:rsidRPr="00DF427C">
        <w:t>The Government expects to achieve a net operating surplus (net result from transactions) of at least $100</w:t>
      </w:r>
      <w:r>
        <w:t> million</w:t>
      </w:r>
      <w:r w:rsidRPr="00DF427C">
        <w:t xml:space="preserve"> each year over the budget and forward estimates period that is consistent with the infrastructure and deb</w:t>
      </w:r>
      <w:r>
        <w:t xml:space="preserve">t parameters, as set out in </w:t>
      </w:r>
      <w:r w:rsidRPr="00DF427C">
        <w:t xml:space="preserve">Chapter 1 </w:t>
      </w:r>
      <w:r w:rsidRPr="00DF427C">
        <w:rPr>
          <w:i/>
        </w:rPr>
        <w:t>Economic and Fiscal Overview.</w:t>
      </w:r>
    </w:p>
    <w:p w:rsidR="00F60B5F" w:rsidRPr="00DF427C" w:rsidRDefault="00F60B5F" w:rsidP="005C19CE">
      <w:pPr>
        <w:pStyle w:val="Heading3Numbering"/>
      </w:pPr>
      <w:r w:rsidRPr="00DF427C">
        <w:t>Revised material economic and other assumptions</w:t>
      </w:r>
    </w:p>
    <w:p w:rsidR="00F60B5F" w:rsidRPr="00DF427C" w:rsidRDefault="00F60B5F" w:rsidP="005C19CE">
      <w:r w:rsidRPr="00DF427C">
        <w:t xml:space="preserve">The </w:t>
      </w:r>
      <w:r>
        <w:t>estimated financial statements</w:t>
      </w:r>
      <w:r w:rsidRPr="00DF427C">
        <w:t xml:space="preserve"> have been prepared using material economic and other assumptions listed below, which have been updated since the publication of the </w:t>
      </w:r>
      <w:r>
        <w:rPr>
          <w:i/>
        </w:rPr>
        <w:t>2013</w:t>
      </w:r>
      <w:r>
        <w:rPr>
          <w:i/>
        </w:rPr>
        <w:noBreakHyphen/>
        <w:t>14</w:t>
      </w:r>
      <w:r w:rsidRPr="00DF427C">
        <w:rPr>
          <w:i/>
        </w:rPr>
        <w:t> Budget</w:t>
      </w:r>
      <w:r w:rsidRPr="00DF427C">
        <w:t>.</w:t>
      </w:r>
    </w:p>
    <w:p w:rsidR="00F60B5F" w:rsidRPr="00DF427C" w:rsidRDefault="00F60B5F" w:rsidP="005C19CE">
      <w:pPr>
        <w:pStyle w:val="Tableheading"/>
        <w:spacing w:before="180"/>
      </w:pPr>
      <w:r w:rsidRPr="00225A57">
        <w:t>Key economic assumptions</w:t>
      </w:r>
      <w:r w:rsidRPr="00DF427C">
        <w:rPr>
          <w:vertAlign w:val="superscript"/>
        </w:rPr>
        <w:t>(a)</w:t>
      </w:r>
    </w:p>
    <w:tbl>
      <w:tblPr>
        <w:tblW w:w="7460" w:type="dxa"/>
        <w:tblInd w:w="29" w:type="dxa"/>
        <w:tblLayout w:type="fixed"/>
        <w:tblCellMar>
          <w:left w:w="43" w:type="dxa"/>
          <w:right w:w="43" w:type="dxa"/>
        </w:tblCellMar>
        <w:tblLook w:val="0000" w:firstRow="0" w:lastRow="0" w:firstColumn="0" w:lastColumn="0" w:noHBand="0" w:noVBand="0"/>
      </w:tblPr>
      <w:tblGrid>
        <w:gridCol w:w="4058"/>
        <w:gridCol w:w="779"/>
        <w:gridCol w:w="75"/>
        <w:gridCol w:w="848"/>
        <w:gridCol w:w="847"/>
        <w:gridCol w:w="389"/>
        <w:gridCol w:w="230"/>
        <w:gridCol w:w="234"/>
      </w:tblGrid>
      <w:tr w:rsidR="00F60B5F" w:rsidRPr="00DF427C" w:rsidTr="005C19CE">
        <w:tc>
          <w:tcPr>
            <w:tcW w:w="4058" w:type="dxa"/>
            <w:tcBorders>
              <w:top w:val="single" w:sz="4" w:space="0" w:color="auto"/>
              <w:left w:val="single" w:sz="4" w:space="0" w:color="auto"/>
              <w:bottom w:val="single" w:sz="6" w:space="0" w:color="auto"/>
              <w:right w:val="nil"/>
            </w:tcBorders>
            <w:shd w:val="clear" w:color="auto" w:fill="000000"/>
          </w:tcPr>
          <w:p w:rsidR="00F60B5F" w:rsidRPr="00DF427C" w:rsidRDefault="00F60B5F" w:rsidP="005C19CE">
            <w:pPr>
              <w:pStyle w:val="Tabletext"/>
              <w:rPr>
                <w:lang w:eastAsia="en-AU"/>
              </w:rPr>
            </w:pPr>
          </w:p>
        </w:tc>
        <w:tc>
          <w:tcPr>
            <w:tcW w:w="854" w:type="dxa"/>
            <w:gridSpan w:val="2"/>
            <w:tcBorders>
              <w:top w:val="single" w:sz="4" w:space="0" w:color="auto"/>
              <w:left w:val="nil"/>
              <w:bottom w:val="single" w:sz="6" w:space="0" w:color="auto"/>
              <w:right w:val="nil"/>
            </w:tcBorders>
            <w:shd w:val="clear" w:color="auto" w:fill="000000"/>
          </w:tcPr>
          <w:p w:rsidR="00F60B5F" w:rsidRPr="00DF427C" w:rsidRDefault="00F60B5F" w:rsidP="005C19CE">
            <w:pPr>
              <w:pStyle w:val="Tabletextheading"/>
              <w:rPr>
                <w:lang w:eastAsia="en-AU"/>
              </w:rPr>
            </w:pPr>
            <w:r>
              <w:rPr>
                <w:lang w:eastAsia="en-AU"/>
              </w:rPr>
              <w:t>2013</w:t>
            </w:r>
            <w:r>
              <w:rPr>
                <w:lang w:eastAsia="en-AU"/>
              </w:rPr>
              <w:noBreakHyphen/>
              <w:t>14</w:t>
            </w:r>
          </w:p>
        </w:tc>
        <w:tc>
          <w:tcPr>
            <w:tcW w:w="848" w:type="dxa"/>
            <w:tcBorders>
              <w:top w:val="single" w:sz="4" w:space="0" w:color="auto"/>
              <w:left w:val="nil"/>
              <w:bottom w:val="single" w:sz="6" w:space="0" w:color="auto"/>
              <w:right w:val="nil"/>
            </w:tcBorders>
            <w:shd w:val="clear" w:color="auto" w:fill="000000"/>
          </w:tcPr>
          <w:p w:rsidR="00F60B5F" w:rsidRPr="00DF427C" w:rsidRDefault="00F60B5F" w:rsidP="005C19CE">
            <w:pPr>
              <w:pStyle w:val="Tabletextheading"/>
              <w:rPr>
                <w:lang w:eastAsia="en-AU"/>
              </w:rPr>
            </w:pPr>
            <w:r>
              <w:rPr>
                <w:lang w:eastAsia="en-AU"/>
              </w:rPr>
              <w:t>2014</w:t>
            </w:r>
            <w:r>
              <w:rPr>
                <w:lang w:eastAsia="en-AU"/>
              </w:rPr>
              <w:noBreakHyphen/>
              <w:t>15</w:t>
            </w:r>
          </w:p>
        </w:tc>
        <w:tc>
          <w:tcPr>
            <w:tcW w:w="847" w:type="dxa"/>
            <w:tcBorders>
              <w:top w:val="single" w:sz="4" w:space="0" w:color="auto"/>
              <w:left w:val="nil"/>
              <w:bottom w:val="single" w:sz="6" w:space="0" w:color="auto"/>
              <w:right w:val="nil"/>
            </w:tcBorders>
            <w:shd w:val="clear" w:color="auto" w:fill="000000"/>
          </w:tcPr>
          <w:p w:rsidR="00F60B5F" w:rsidRPr="00DF427C" w:rsidRDefault="00F60B5F" w:rsidP="005C19CE">
            <w:pPr>
              <w:pStyle w:val="Tabletextheading"/>
              <w:rPr>
                <w:lang w:eastAsia="en-AU"/>
              </w:rPr>
            </w:pPr>
            <w:r>
              <w:rPr>
                <w:lang w:eastAsia="en-AU"/>
              </w:rPr>
              <w:t>2015</w:t>
            </w:r>
            <w:r>
              <w:rPr>
                <w:lang w:eastAsia="en-AU"/>
              </w:rPr>
              <w:noBreakHyphen/>
              <w:t>16</w:t>
            </w:r>
          </w:p>
        </w:tc>
        <w:tc>
          <w:tcPr>
            <w:tcW w:w="853" w:type="dxa"/>
            <w:gridSpan w:val="3"/>
            <w:tcBorders>
              <w:top w:val="single" w:sz="4" w:space="0" w:color="auto"/>
              <w:left w:val="nil"/>
              <w:bottom w:val="single" w:sz="6" w:space="0" w:color="auto"/>
              <w:right w:val="single" w:sz="4" w:space="0" w:color="auto"/>
            </w:tcBorders>
            <w:shd w:val="clear" w:color="auto" w:fill="000000"/>
          </w:tcPr>
          <w:p w:rsidR="00F60B5F" w:rsidRPr="00DF427C" w:rsidRDefault="00F60B5F" w:rsidP="005C19CE">
            <w:pPr>
              <w:pStyle w:val="Tabletextheading"/>
              <w:rPr>
                <w:lang w:eastAsia="en-AU"/>
              </w:rPr>
            </w:pPr>
            <w:r>
              <w:rPr>
                <w:lang w:eastAsia="en-AU"/>
              </w:rPr>
              <w:t>2016</w:t>
            </w:r>
            <w:r>
              <w:rPr>
                <w:lang w:eastAsia="en-AU"/>
              </w:rPr>
              <w:noBreakHyphen/>
              <w:t>17</w:t>
            </w:r>
          </w:p>
        </w:tc>
      </w:tr>
      <w:tr w:rsidR="00F60B5F" w:rsidRPr="00DF427C" w:rsidTr="005C19CE">
        <w:tc>
          <w:tcPr>
            <w:tcW w:w="4058" w:type="dxa"/>
            <w:tcBorders>
              <w:top w:val="single" w:sz="6" w:space="0" w:color="auto"/>
              <w:left w:val="single" w:sz="4" w:space="0" w:color="auto"/>
              <w:bottom w:val="single" w:sz="4" w:space="0" w:color="auto"/>
              <w:right w:val="nil"/>
            </w:tcBorders>
            <w:shd w:val="clear" w:color="auto" w:fill="000000"/>
          </w:tcPr>
          <w:p w:rsidR="00F60B5F" w:rsidRPr="00DF427C" w:rsidRDefault="00F60B5F" w:rsidP="005C19CE">
            <w:pPr>
              <w:pStyle w:val="Tabletext"/>
              <w:rPr>
                <w:lang w:eastAsia="en-AU"/>
              </w:rPr>
            </w:pPr>
            <w:r w:rsidRPr="00DF427C">
              <w:rPr>
                <w:lang w:eastAsia="en-AU"/>
              </w:rPr>
              <w:t xml:space="preserve"> </w:t>
            </w:r>
          </w:p>
        </w:tc>
        <w:tc>
          <w:tcPr>
            <w:tcW w:w="854" w:type="dxa"/>
            <w:gridSpan w:val="2"/>
            <w:tcBorders>
              <w:top w:val="single" w:sz="6" w:space="0" w:color="auto"/>
              <w:left w:val="nil"/>
              <w:bottom w:val="single" w:sz="4" w:space="0" w:color="auto"/>
              <w:right w:val="nil"/>
            </w:tcBorders>
            <w:shd w:val="clear" w:color="auto" w:fill="000000"/>
          </w:tcPr>
          <w:p w:rsidR="00F60B5F" w:rsidRPr="00DF427C" w:rsidRDefault="00F60B5F" w:rsidP="005C19CE">
            <w:pPr>
              <w:pStyle w:val="Tabletextheading"/>
              <w:rPr>
                <w:lang w:eastAsia="en-AU"/>
              </w:rPr>
            </w:pPr>
            <w:r w:rsidRPr="00DF427C">
              <w:rPr>
                <w:lang w:eastAsia="en-AU"/>
              </w:rPr>
              <w:t>Forecast</w:t>
            </w:r>
          </w:p>
        </w:tc>
        <w:tc>
          <w:tcPr>
            <w:tcW w:w="848" w:type="dxa"/>
            <w:tcBorders>
              <w:top w:val="single" w:sz="6" w:space="0" w:color="auto"/>
              <w:left w:val="nil"/>
              <w:bottom w:val="single" w:sz="4" w:space="0" w:color="auto"/>
              <w:right w:val="nil"/>
            </w:tcBorders>
            <w:shd w:val="clear" w:color="auto" w:fill="000000"/>
          </w:tcPr>
          <w:p w:rsidR="00F60B5F" w:rsidRPr="00DF427C" w:rsidRDefault="00F60B5F" w:rsidP="005C19CE">
            <w:pPr>
              <w:pStyle w:val="Tabletextheading"/>
              <w:rPr>
                <w:lang w:eastAsia="en-AU"/>
              </w:rPr>
            </w:pPr>
            <w:r w:rsidRPr="00DF427C">
              <w:rPr>
                <w:lang w:eastAsia="en-AU"/>
              </w:rPr>
              <w:t>Forecast</w:t>
            </w:r>
          </w:p>
        </w:tc>
        <w:tc>
          <w:tcPr>
            <w:tcW w:w="847" w:type="dxa"/>
            <w:tcBorders>
              <w:top w:val="single" w:sz="6" w:space="0" w:color="auto"/>
              <w:left w:val="nil"/>
              <w:bottom w:val="single" w:sz="4" w:space="0" w:color="auto"/>
              <w:right w:val="nil"/>
            </w:tcBorders>
            <w:shd w:val="clear" w:color="auto" w:fill="000000"/>
          </w:tcPr>
          <w:p w:rsidR="00F60B5F" w:rsidRPr="00DF427C" w:rsidRDefault="00F60B5F" w:rsidP="005C19CE">
            <w:pPr>
              <w:pStyle w:val="Tabletextheading"/>
              <w:rPr>
                <w:lang w:eastAsia="en-AU"/>
              </w:rPr>
            </w:pPr>
            <w:r w:rsidRPr="00DF427C">
              <w:rPr>
                <w:lang w:eastAsia="en-AU"/>
              </w:rPr>
              <w:t>Forecast</w:t>
            </w:r>
          </w:p>
        </w:tc>
        <w:tc>
          <w:tcPr>
            <w:tcW w:w="853" w:type="dxa"/>
            <w:gridSpan w:val="3"/>
            <w:tcBorders>
              <w:top w:val="single" w:sz="6" w:space="0" w:color="auto"/>
              <w:left w:val="nil"/>
              <w:bottom w:val="single" w:sz="4" w:space="0" w:color="auto"/>
              <w:right w:val="single" w:sz="4" w:space="0" w:color="auto"/>
            </w:tcBorders>
            <w:shd w:val="clear" w:color="auto" w:fill="000000"/>
          </w:tcPr>
          <w:p w:rsidR="00F60B5F" w:rsidRPr="00DF427C" w:rsidRDefault="00F60B5F" w:rsidP="005C19CE">
            <w:pPr>
              <w:pStyle w:val="Tabletextheading"/>
              <w:rPr>
                <w:lang w:eastAsia="en-AU"/>
              </w:rPr>
            </w:pPr>
            <w:r w:rsidRPr="00DF427C">
              <w:rPr>
                <w:lang w:eastAsia="en-AU"/>
              </w:rPr>
              <w:t>Forecast</w:t>
            </w:r>
          </w:p>
        </w:tc>
      </w:tr>
      <w:tr w:rsidR="00F60B5F" w:rsidRPr="00DF427C" w:rsidTr="005C19CE">
        <w:tc>
          <w:tcPr>
            <w:tcW w:w="4058" w:type="dxa"/>
            <w:tcBorders>
              <w:top w:val="single" w:sz="4" w:space="0" w:color="auto"/>
              <w:left w:val="nil"/>
              <w:bottom w:val="nil"/>
              <w:right w:val="nil"/>
            </w:tcBorders>
          </w:tcPr>
          <w:p w:rsidR="00F60B5F" w:rsidRPr="00DF427C" w:rsidRDefault="00F60B5F" w:rsidP="005C19CE">
            <w:pPr>
              <w:pStyle w:val="Tabletext"/>
              <w:rPr>
                <w:lang w:eastAsia="en-AU"/>
              </w:rPr>
            </w:pPr>
            <w:r w:rsidRPr="00DF427C">
              <w:rPr>
                <w:lang w:eastAsia="en-AU"/>
              </w:rPr>
              <w:t xml:space="preserve"> </w:t>
            </w:r>
          </w:p>
        </w:tc>
        <w:tc>
          <w:tcPr>
            <w:tcW w:w="779" w:type="dxa"/>
            <w:tcBorders>
              <w:top w:val="single" w:sz="4" w:space="0" w:color="auto"/>
              <w:left w:val="nil"/>
              <w:bottom w:val="nil"/>
              <w:right w:val="nil"/>
            </w:tcBorders>
          </w:tcPr>
          <w:p w:rsidR="00F60B5F" w:rsidRPr="00DF427C" w:rsidRDefault="00F60B5F" w:rsidP="005C19CE">
            <w:pPr>
              <w:pStyle w:val="million"/>
              <w:rPr>
                <w:lang w:eastAsia="en-AU"/>
              </w:rPr>
            </w:pPr>
            <w:r w:rsidRPr="00DF427C">
              <w:rPr>
                <w:lang w:eastAsia="en-AU"/>
              </w:rPr>
              <w:t xml:space="preserve"> </w:t>
            </w:r>
          </w:p>
        </w:tc>
        <w:tc>
          <w:tcPr>
            <w:tcW w:w="2159" w:type="dxa"/>
            <w:gridSpan w:val="4"/>
            <w:tcBorders>
              <w:top w:val="single" w:sz="4" w:space="0" w:color="auto"/>
              <w:left w:val="nil"/>
              <w:bottom w:val="nil"/>
              <w:right w:val="nil"/>
            </w:tcBorders>
          </w:tcPr>
          <w:p w:rsidR="00F60B5F" w:rsidRPr="00DF427C" w:rsidRDefault="00F60B5F" w:rsidP="005C19CE">
            <w:pPr>
              <w:pStyle w:val="million"/>
              <w:rPr>
                <w:rFonts w:cs="Calibri"/>
                <w:iCs/>
                <w:lang w:eastAsia="en-AU"/>
              </w:rPr>
            </w:pPr>
            <w:r w:rsidRPr="00DF427C">
              <w:rPr>
                <w:lang w:eastAsia="en-AU"/>
              </w:rPr>
              <w:t>($</w:t>
            </w:r>
            <w:r>
              <w:rPr>
                <w:rFonts w:cs="Calibri"/>
                <w:lang w:eastAsia="en-AU"/>
              </w:rPr>
              <w:t> billion</w:t>
            </w:r>
            <w:r w:rsidRPr="00DF427C">
              <w:rPr>
                <w:rFonts w:cs="Calibri"/>
                <w:lang w:eastAsia="en-AU"/>
              </w:rPr>
              <w:t xml:space="preserve">) </w:t>
            </w:r>
          </w:p>
        </w:tc>
        <w:tc>
          <w:tcPr>
            <w:tcW w:w="230" w:type="dxa"/>
            <w:tcBorders>
              <w:top w:val="single" w:sz="4" w:space="0" w:color="auto"/>
              <w:left w:val="nil"/>
              <w:bottom w:val="nil"/>
              <w:right w:val="nil"/>
            </w:tcBorders>
          </w:tcPr>
          <w:p w:rsidR="00F60B5F" w:rsidRPr="00DF427C" w:rsidRDefault="00F60B5F" w:rsidP="005C19CE">
            <w:pPr>
              <w:pStyle w:val="million"/>
              <w:rPr>
                <w:lang w:eastAsia="en-AU"/>
              </w:rPr>
            </w:pPr>
            <w:r w:rsidRPr="00DF427C">
              <w:rPr>
                <w:lang w:eastAsia="en-AU"/>
              </w:rPr>
              <w:t xml:space="preserve"> </w:t>
            </w:r>
          </w:p>
        </w:tc>
        <w:tc>
          <w:tcPr>
            <w:tcW w:w="234" w:type="dxa"/>
            <w:tcBorders>
              <w:top w:val="single" w:sz="4" w:space="0" w:color="auto"/>
              <w:left w:val="nil"/>
              <w:bottom w:val="nil"/>
              <w:right w:val="nil"/>
            </w:tcBorders>
          </w:tcPr>
          <w:p w:rsidR="00F60B5F" w:rsidRPr="00DF427C" w:rsidRDefault="00F60B5F" w:rsidP="005C19CE">
            <w:pPr>
              <w:pStyle w:val="million"/>
              <w:rPr>
                <w:lang w:eastAsia="en-AU"/>
              </w:rPr>
            </w:pPr>
            <w:r w:rsidRPr="00DF427C">
              <w:rPr>
                <w:lang w:eastAsia="en-AU"/>
              </w:rPr>
              <w:t xml:space="preserve"> </w:t>
            </w:r>
          </w:p>
        </w:tc>
      </w:tr>
      <w:tr w:rsidR="00F60B5F" w:rsidRPr="00DF427C" w:rsidTr="005C19CE">
        <w:tc>
          <w:tcPr>
            <w:tcW w:w="4058" w:type="dxa"/>
            <w:tcBorders>
              <w:top w:val="nil"/>
              <w:left w:val="nil"/>
              <w:bottom w:val="nil"/>
              <w:right w:val="nil"/>
            </w:tcBorders>
          </w:tcPr>
          <w:p w:rsidR="00F60B5F" w:rsidRPr="00DF427C" w:rsidRDefault="00F60B5F" w:rsidP="005C19CE">
            <w:pPr>
              <w:pStyle w:val="Tabletext"/>
              <w:rPr>
                <w:lang w:eastAsia="en-AU"/>
              </w:rPr>
            </w:pPr>
            <w:r w:rsidRPr="00DF427C">
              <w:rPr>
                <w:lang w:eastAsia="en-AU"/>
              </w:rPr>
              <w:t>Nominal gross state product</w:t>
            </w:r>
          </w:p>
        </w:tc>
        <w:tc>
          <w:tcPr>
            <w:tcW w:w="854" w:type="dxa"/>
            <w:gridSpan w:val="2"/>
            <w:tcBorders>
              <w:top w:val="nil"/>
              <w:left w:val="nil"/>
              <w:bottom w:val="nil"/>
              <w:right w:val="nil"/>
            </w:tcBorders>
          </w:tcPr>
          <w:p w:rsidR="00F60B5F" w:rsidRPr="00F71338" w:rsidRDefault="00F60B5F" w:rsidP="005E4BE9">
            <w:pPr>
              <w:pStyle w:val="TableofFigures"/>
              <w:rPr>
                <w:lang w:eastAsia="en-AU"/>
              </w:rPr>
            </w:pPr>
            <w:r w:rsidRPr="00BE267D">
              <w:t>35</w:t>
            </w:r>
            <w:r>
              <w:t>2.6</w:t>
            </w:r>
          </w:p>
        </w:tc>
        <w:tc>
          <w:tcPr>
            <w:tcW w:w="848" w:type="dxa"/>
            <w:tcBorders>
              <w:top w:val="nil"/>
              <w:left w:val="nil"/>
              <w:bottom w:val="nil"/>
              <w:right w:val="nil"/>
            </w:tcBorders>
          </w:tcPr>
          <w:p w:rsidR="00F60B5F" w:rsidRPr="00F71338" w:rsidRDefault="00F60B5F" w:rsidP="005E4BE9">
            <w:pPr>
              <w:pStyle w:val="TableofFigures"/>
              <w:rPr>
                <w:lang w:eastAsia="en-AU"/>
              </w:rPr>
            </w:pPr>
            <w:r w:rsidRPr="00BE267D">
              <w:t>3</w:t>
            </w:r>
            <w:r>
              <w:t>70.0</w:t>
            </w:r>
          </w:p>
        </w:tc>
        <w:tc>
          <w:tcPr>
            <w:tcW w:w="847" w:type="dxa"/>
            <w:tcBorders>
              <w:top w:val="nil"/>
              <w:left w:val="nil"/>
              <w:bottom w:val="nil"/>
              <w:right w:val="nil"/>
            </w:tcBorders>
          </w:tcPr>
          <w:p w:rsidR="00F60B5F" w:rsidRPr="00F71338" w:rsidRDefault="00F60B5F" w:rsidP="005E4BE9">
            <w:pPr>
              <w:pStyle w:val="TableofFigures"/>
              <w:rPr>
                <w:lang w:eastAsia="en-AU"/>
              </w:rPr>
            </w:pPr>
            <w:r w:rsidRPr="00BE267D">
              <w:t>3</w:t>
            </w:r>
            <w:r>
              <w:t>89.8</w:t>
            </w:r>
          </w:p>
        </w:tc>
        <w:tc>
          <w:tcPr>
            <w:tcW w:w="853" w:type="dxa"/>
            <w:gridSpan w:val="3"/>
            <w:tcBorders>
              <w:top w:val="nil"/>
              <w:left w:val="nil"/>
              <w:bottom w:val="nil"/>
              <w:right w:val="nil"/>
            </w:tcBorders>
          </w:tcPr>
          <w:p w:rsidR="00F60B5F" w:rsidRPr="00F71338" w:rsidRDefault="00F60B5F" w:rsidP="005E4BE9">
            <w:pPr>
              <w:pStyle w:val="TableofFigures"/>
              <w:rPr>
                <w:lang w:eastAsia="en-AU"/>
              </w:rPr>
            </w:pPr>
            <w:r w:rsidRPr="00BE267D">
              <w:t>41</w:t>
            </w:r>
            <w:r>
              <w:t>0</w:t>
            </w:r>
            <w:r w:rsidRPr="00BE267D">
              <w:t>.</w:t>
            </w:r>
            <w:r>
              <w:t>4</w:t>
            </w:r>
          </w:p>
        </w:tc>
      </w:tr>
      <w:tr w:rsidR="00F60B5F" w:rsidRPr="00DF427C" w:rsidTr="005C19CE">
        <w:tc>
          <w:tcPr>
            <w:tcW w:w="4058" w:type="dxa"/>
            <w:tcBorders>
              <w:top w:val="nil"/>
              <w:left w:val="nil"/>
              <w:bottom w:val="nil"/>
              <w:right w:val="nil"/>
            </w:tcBorders>
          </w:tcPr>
          <w:p w:rsidR="00F60B5F" w:rsidRPr="00DF427C" w:rsidRDefault="00F60B5F" w:rsidP="005C19CE">
            <w:pPr>
              <w:pStyle w:val="Tabletext"/>
              <w:rPr>
                <w:lang w:eastAsia="en-AU"/>
              </w:rPr>
            </w:pPr>
            <w:r w:rsidRPr="00DF427C">
              <w:rPr>
                <w:lang w:eastAsia="en-AU"/>
              </w:rPr>
              <w:t xml:space="preserve"> </w:t>
            </w:r>
          </w:p>
        </w:tc>
        <w:tc>
          <w:tcPr>
            <w:tcW w:w="779" w:type="dxa"/>
            <w:tcBorders>
              <w:top w:val="nil"/>
              <w:left w:val="nil"/>
              <w:bottom w:val="nil"/>
              <w:right w:val="nil"/>
            </w:tcBorders>
          </w:tcPr>
          <w:p w:rsidR="00F60B5F" w:rsidRPr="00DF427C" w:rsidRDefault="00F60B5F" w:rsidP="005C19CE">
            <w:pPr>
              <w:pStyle w:val="million"/>
              <w:rPr>
                <w:lang w:eastAsia="en-AU"/>
              </w:rPr>
            </w:pPr>
            <w:r w:rsidRPr="00DF427C">
              <w:rPr>
                <w:lang w:eastAsia="en-AU"/>
              </w:rPr>
              <w:t xml:space="preserve"> </w:t>
            </w:r>
          </w:p>
        </w:tc>
        <w:tc>
          <w:tcPr>
            <w:tcW w:w="2159" w:type="dxa"/>
            <w:gridSpan w:val="4"/>
            <w:tcBorders>
              <w:top w:val="nil"/>
              <w:left w:val="nil"/>
              <w:bottom w:val="nil"/>
              <w:right w:val="nil"/>
            </w:tcBorders>
          </w:tcPr>
          <w:p w:rsidR="00F60B5F" w:rsidRPr="00DF427C" w:rsidRDefault="00F60B5F" w:rsidP="005C19CE">
            <w:pPr>
              <w:pStyle w:val="million"/>
              <w:rPr>
                <w:rFonts w:ascii="Britannic Bold" w:hAnsi="Britannic Bold" w:cs="Britannic Bold"/>
                <w:iCs/>
                <w:sz w:val="20"/>
                <w:vertAlign w:val="superscript"/>
                <w:lang w:eastAsia="en-AU"/>
              </w:rPr>
            </w:pPr>
            <w:r w:rsidRPr="00DF427C">
              <w:rPr>
                <w:lang w:eastAsia="en-AU"/>
              </w:rPr>
              <w:t>(percentage</w:t>
            </w:r>
            <w:r w:rsidRPr="00DF427C">
              <w:rPr>
                <w:rFonts w:cs="Calibri"/>
                <w:iCs/>
                <w:sz w:val="20"/>
                <w:lang w:eastAsia="en-AU"/>
              </w:rPr>
              <w:t xml:space="preserve"> </w:t>
            </w:r>
            <w:r w:rsidRPr="00DF427C">
              <w:rPr>
                <w:lang w:eastAsia="en-AU"/>
              </w:rPr>
              <w:t>change</w:t>
            </w:r>
            <w:r w:rsidRPr="006F65E0">
              <w:rPr>
                <w:lang w:eastAsia="en-AU"/>
              </w:rPr>
              <w:t xml:space="preserve">) </w:t>
            </w:r>
            <w:r w:rsidRPr="006F65E0">
              <w:rPr>
                <w:sz w:val="20"/>
                <w:vertAlign w:val="superscript"/>
                <w:lang w:eastAsia="en-AU"/>
              </w:rPr>
              <w:t>(b)</w:t>
            </w:r>
          </w:p>
        </w:tc>
        <w:tc>
          <w:tcPr>
            <w:tcW w:w="230" w:type="dxa"/>
            <w:tcBorders>
              <w:top w:val="nil"/>
              <w:left w:val="nil"/>
              <w:bottom w:val="nil"/>
              <w:right w:val="nil"/>
            </w:tcBorders>
          </w:tcPr>
          <w:p w:rsidR="00F60B5F" w:rsidRPr="00DF427C" w:rsidRDefault="00F60B5F" w:rsidP="005C19CE">
            <w:pPr>
              <w:pStyle w:val="million"/>
              <w:rPr>
                <w:lang w:eastAsia="en-AU"/>
              </w:rPr>
            </w:pPr>
            <w:r w:rsidRPr="00DF427C">
              <w:rPr>
                <w:lang w:eastAsia="en-AU"/>
              </w:rPr>
              <w:t xml:space="preserve"> </w:t>
            </w:r>
          </w:p>
        </w:tc>
        <w:tc>
          <w:tcPr>
            <w:tcW w:w="234" w:type="dxa"/>
            <w:tcBorders>
              <w:top w:val="nil"/>
              <w:left w:val="nil"/>
              <w:bottom w:val="nil"/>
              <w:right w:val="nil"/>
            </w:tcBorders>
          </w:tcPr>
          <w:p w:rsidR="00F60B5F" w:rsidRPr="00DF427C" w:rsidRDefault="00F60B5F" w:rsidP="005C19CE">
            <w:pPr>
              <w:pStyle w:val="million"/>
              <w:rPr>
                <w:lang w:eastAsia="en-AU"/>
              </w:rPr>
            </w:pPr>
            <w:r w:rsidRPr="00DF427C">
              <w:rPr>
                <w:lang w:eastAsia="en-AU"/>
              </w:rPr>
              <w:t xml:space="preserve"> </w:t>
            </w:r>
          </w:p>
        </w:tc>
      </w:tr>
      <w:tr w:rsidR="00F60B5F" w:rsidRPr="00DF427C" w:rsidTr="005C19CE">
        <w:trPr>
          <w:trHeight w:val="145"/>
        </w:trPr>
        <w:tc>
          <w:tcPr>
            <w:tcW w:w="4058" w:type="dxa"/>
            <w:tcBorders>
              <w:top w:val="nil"/>
              <w:left w:val="nil"/>
              <w:bottom w:val="nil"/>
              <w:right w:val="nil"/>
            </w:tcBorders>
          </w:tcPr>
          <w:p w:rsidR="00F60B5F" w:rsidRPr="00DF427C" w:rsidRDefault="00F60B5F" w:rsidP="005C19CE">
            <w:pPr>
              <w:pStyle w:val="Tabletext"/>
              <w:rPr>
                <w:lang w:eastAsia="en-AU"/>
              </w:rPr>
            </w:pPr>
            <w:r w:rsidRPr="00DF427C">
              <w:rPr>
                <w:lang w:eastAsia="en-AU"/>
              </w:rPr>
              <w:t>Real gross state product</w:t>
            </w:r>
          </w:p>
        </w:tc>
        <w:tc>
          <w:tcPr>
            <w:tcW w:w="854" w:type="dxa"/>
            <w:gridSpan w:val="2"/>
            <w:tcBorders>
              <w:top w:val="nil"/>
              <w:left w:val="nil"/>
              <w:bottom w:val="nil"/>
              <w:right w:val="nil"/>
            </w:tcBorders>
          </w:tcPr>
          <w:p w:rsidR="00F60B5F" w:rsidRPr="00F71338" w:rsidRDefault="00F60B5F" w:rsidP="005C19CE">
            <w:pPr>
              <w:pStyle w:val="TableofFigures"/>
              <w:rPr>
                <w:lang w:eastAsia="en-AU"/>
              </w:rPr>
            </w:pPr>
            <w:r w:rsidRPr="00F71338">
              <w:rPr>
                <w:lang w:eastAsia="en-AU"/>
              </w:rPr>
              <w:t>2.</w:t>
            </w:r>
            <w:r>
              <w:rPr>
                <w:lang w:eastAsia="en-AU"/>
              </w:rPr>
              <w:t>00</w:t>
            </w:r>
          </w:p>
        </w:tc>
        <w:tc>
          <w:tcPr>
            <w:tcW w:w="848"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2.75</w:t>
            </w:r>
          </w:p>
        </w:tc>
        <w:tc>
          <w:tcPr>
            <w:tcW w:w="847"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2.75</w:t>
            </w:r>
          </w:p>
        </w:tc>
        <w:tc>
          <w:tcPr>
            <w:tcW w:w="853" w:type="dxa"/>
            <w:gridSpan w:val="3"/>
            <w:tcBorders>
              <w:top w:val="nil"/>
              <w:left w:val="nil"/>
              <w:bottom w:val="nil"/>
              <w:right w:val="nil"/>
            </w:tcBorders>
          </w:tcPr>
          <w:p w:rsidR="00F60B5F" w:rsidRPr="00F71338" w:rsidRDefault="00F60B5F" w:rsidP="005C19CE">
            <w:pPr>
              <w:pStyle w:val="TableofFigures"/>
              <w:rPr>
                <w:lang w:eastAsia="en-AU"/>
              </w:rPr>
            </w:pPr>
            <w:r w:rsidRPr="00F71338">
              <w:rPr>
                <w:lang w:eastAsia="en-AU"/>
              </w:rPr>
              <w:t>2.75</w:t>
            </w:r>
          </w:p>
        </w:tc>
      </w:tr>
      <w:tr w:rsidR="00F60B5F" w:rsidRPr="00DF427C" w:rsidTr="005C19CE">
        <w:tc>
          <w:tcPr>
            <w:tcW w:w="4058" w:type="dxa"/>
            <w:tcBorders>
              <w:top w:val="nil"/>
              <w:left w:val="nil"/>
              <w:bottom w:val="nil"/>
              <w:right w:val="nil"/>
            </w:tcBorders>
          </w:tcPr>
          <w:p w:rsidR="00F60B5F" w:rsidRPr="00DF427C" w:rsidRDefault="00F60B5F" w:rsidP="005C19CE">
            <w:pPr>
              <w:pStyle w:val="Tabletext"/>
              <w:rPr>
                <w:lang w:eastAsia="en-AU"/>
              </w:rPr>
            </w:pPr>
            <w:r w:rsidRPr="00DF427C">
              <w:rPr>
                <w:lang w:eastAsia="en-AU"/>
              </w:rPr>
              <w:t>Employment</w:t>
            </w:r>
          </w:p>
        </w:tc>
        <w:tc>
          <w:tcPr>
            <w:tcW w:w="854" w:type="dxa"/>
            <w:gridSpan w:val="2"/>
            <w:tcBorders>
              <w:top w:val="nil"/>
              <w:left w:val="nil"/>
              <w:bottom w:val="nil"/>
              <w:right w:val="nil"/>
            </w:tcBorders>
          </w:tcPr>
          <w:p w:rsidR="00F60B5F" w:rsidRPr="00F71338" w:rsidRDefault="00F60B5F" w:rsidP="005C19CE">
            <w:pPr>
              <w:pStyle w:val="TableofFigures"/>
              <w:rPr>
                <w:lang w:eastAsia="en-AU"/>
              </w:rPr>
            </w:pPr>
            <w:r>
              <w:rPr>
                <w:lang w:eastAsia="en-AU"/>
              </w:rPr>
              <w:t>1.0</w:t>
            </w:r>
            <w:r w:rsidRPr="00F71338">
              <w:rPr>
                <w:lang w:eastAsia="en-AU"/>
              </w:rPr>
              <w:t>0</w:t>
            </w:r>
          </w:p>
        </w:tc>
        <w:tc>
          <w:tcPr>
            <w:tcW w:w="848"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1.</w:t>
            </w:r>
            <w:r>
              <w:rPr>
                <w:lang w:eastAsia="en-AU"/>
              </w:rPr>
              <w:t>50</w:t>
            </w:r>
          </w:p>
        </w:tc>
        <w:tc>
          <w:tcPr>
            <w:tcW w:w="847"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1.75</w:t>
            </w:r>
          </w:p>
        </w:tc>
        <w:tc>
          <w:tcPr>
            <w:tcW w:w="853" w:type="dxa"/>
            <w:gridSpan w:val="3"/>
            <w:tcBorders>
              <w:top w:val="nil"/>
              <w:left w:val="nil"/>
              <w:bottom w:val="nil"/>
              <w:right w:val="nil"/>
            </w:tcBorders>
          </w:tcPr>
          <w:p w:rsidR="00F60B5F" w:rsidRPr="00F71338" w:rsidRDefault="00F60B5F" w:rsidP="005C19CE">
            <w:pPr>
              <w:pStyle w:val="TableofFigures"/>
              <w:rPr>
                <w:lang w:eastAsia="en-AU"/>
              </w:rPr>
            </w:pPr>
            <w:r w:rsidRPr="00F71338">
              <w:rPr>
                <w:lang w:eastAsia="en-AU"/>
              </w:rPr>
              <w:t>1.50</w:t>
            </w:r>
          </w:p>
        </w:tc>
      </w:tr>
      <w:tr w:rsidR="00F60B5F" w:rsidRPr="00DF427C" w:rsidTr="005C19CE">
        <w:tc>
          <w:tcPr>
            <w:tcW w:w="4058" w:type="dxa"/>
            <w:tcBorders>
              <w:top w:val="nil"/>
              <w:left w:val="nil"/>
              <w:bottom w:val="nil"/>
              <w:right w:val="nil"/>
            </w:tcBorders>
          </w:tcPr>
          <w:p w:rsidR="00F60B5F" w:rsidRPr="00DF427C" w:rsidRDefault="00F60B5F" w:rsidP="005C19CE">
            <w:pPr>
              <w:pStyle w:val="Tabletext"/>
              <w:rPr>
                <w:vertAlign w:val="superscript"/>
                <w:lang w:eastAsia="en-AU"/>
              </w:rPr>
            </w:pPr>
            <w:r w:rsidRPr="00DF427C">
              <w:rPr>
                <w:lang w:eastAsia="en-AU"/>
              </w:rPr>
              <w:t xml:space="preserve">Unemployment rate </w:t>
            </w:r>
          </w:p>
        </w:tc>
        <w:tc>
          <w:tcPr>
            <w:tcW w:w="854" w:type="dxa"/>
            <w:gridSpan w:val="2"/>
            <w:tcBorders>
              <w:top w:val="nil"/>
              <w:left w:val="nil"/>
              <w:bottom w:val="nil"/>
              <w:right w:val="nil"/>
            </w:tcBorders>
          </w:tcPr>
          <w:p w:rsidR="00F60B5F" w:rsidRPr="00F71338" w:rsidRDefault="00F60B5F" w:rsidP="005C19CE">
            <w:pPr>
              <w:pStyle w:val="TableofFigures"/>
              <w:rPr>
                <w:lang w:eastAsia="en-AU"/>
              </w:rPr>
            </w:pPr>
            <w:r>
              <w:rPr>
                <w:lang w:eastAsia="en-AU"/>
              </w:rPr>
              <w:t>6.00</w:t>
            </w:r>
          </w:p>
        </w:tc>
        <w:tc>
          <w:tcPr>
            <w:tcW w:w="848"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5.</w:t>
            </w:r>
            <w:r>
              <w:rPr>
                <w:lang w:eastAsia="en-AU"/>
              </w:rPr>
              <w:t>7</w:t>
            </w:r>
            <w:r w:rsidRPr="00F71338">
              <w:rPr>
                <w:lang w:eastAsia="en-AU"/>
              </w:rPr>
              <w:t>5</w:t>
            </w:r>
          </w:p>
        </w:tc>
        <w:tc>
          <w:tcPr>
            <w:tcW w:w="847"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5.</w:t>
            </w:r>
            <w:r>
              <w:rPr>
                <w:lang w:eastAsia="en-AU"/>
              </w:rPr>
              <w:t>5</w:t>
            </w:r>
            <w:r w:rsidRPr="00F71338">
              <w:rPr>
                <w:lang w:eastAsia="en-AU"/>
              </w:rPr>
              <w:t>0</w:t>
            </w:r>
          </w:p>
        </w:tc>
        <w:tc>
          <w:tcPr>
            <w:tcW w:w="853" w:type="dxa"/>
            <w:gridSpan w:val="3"/>
            <w:tcBorders>
              <w:top w:val="nil"/>
              <w:left w:val="nil"/>
              <w:bottom w:val="nil"/>
              <w:right w:val="nil"/>
            </w:tcBorders>
          </w:tcPr>
          <w:p w:rsidR="00F60B5F" w:rsidRPr="00F71338" w:rsidRDefault="00F60B5F" w:rsidP="005C19CE">
            <w:pPr>
              <w:pStyle w:val="TableofFigures"/>
              <w:rPr>
                <w:lang w:eastAsia="en-AU"/>
              </w:rPr>
            </w:pPr>
            <w:r w:rsidRPr="00F71338">
              <w:rPr>
                <w:lang w:eastAsia="en-AU"/>
              </w:rPr>
              <w:t>5.00</w:t>
            </w:r>
          </w:p>
        </w:tc>
      </w:tr>
      <w:tr w:rsidR="00F60B5F" w:rsidRPr="00DF427C" w:rsidTr="005C19CE">
        <w:tc>
          <w:tcPr>
            <w:tcW w:w="4058" w:type="dxa"/>
            <w:tcBorders>
              <w:top w:val="nil"/>
              <w:left w:val="nil"/>
              <w:bottom w:val="nil"/>
              <w:right w:val="nil"/>
            </w:tcBorders>
          </w:tcPr>
          <w:p w:rsidR="00F60B5F" w:rsidRPr="00DF427C" w:rsidRDefault="00F60B5F" w:rsidP="005C19CE">
            <w:pPr>
              <w:pStyle w:val="Tabletext"/>
              <w:rPr>
                <w:lang w:eastAsia="en-AU"/>
              </w:rPr>
            </w:pPr>
            <w:r w:rsidRPr="00DF427C">
              <w:rPr>
                <w:lang w:eastAsia="en-AU"/>
              </w:rPr>
              <w:t>Consumer price index</w:t>
            </w:r>
            <w:r>
              <w:rPr>
                <w:lang w:eastAsia="en-AU"/>
              </w:rPr>
              <w:t xml:space="preserve"> </w:t>
            </w:r>
            <w:r>
              <w:rPr>
                <w:vertAlign w:val="superscript"/>
                <w:lang w:eastAsia="en-AU"/>
              </w:rPr>
              <w:t>(c</w:t>
            </w:r>
            <w:r w:rsidRPr="00DF427C">
              <w:rPr>
                <w:vertAlign w:val="superscript"/>
                <w:lang w:eastAsia="en-AU"/>
              </w:rPr>
              <w:t>)</w:t>
            </w:r>
          </w:p>
        </w:tc>
        <w:tc>
          <w:tcPr>
            <w:tcW w:w="854" w:type="dxa"/>
            <w:gridSpan w:val="2"/>
            <w:tcBorders>
              <w:top w:val="nil"/>
              <w:left w:val="nil"/>
              <w:bottom w:val="nil"/>
              <w:right w:val="nil"/>
            </w:tcBorders>
          </w:tcPr>
          <w:p w:rsidR="00F60B5F" w:rsidRPr="00F71338" w:rsidRDefault="00F60B5F" w:rsidP="005C19CE">
            <w:pPr>
              <w:pStyle w:val="TableofFigures"/>
              <w:rPr>
                <w:lang w:eastAsia="en-AU"/>
              </w:rPr>
            </w:pPr>
            <w:r w:rsidRPr="00F71338">
              <w:rPr>
                <w:lang w:eastAsia="en-AU"/>
              </w:rPr>
              <w:t>2.</w:t>
            </w:r>
            <w:r>
              <w:rPr>
                <w:lang w:eastAsia="en-AU"/>
              </w:rPr>
              <w:t>50</w:t>
            </w:r>
          </w:p>
        </w:tc>
        <w:tc>
          <w:tcPr>
            <w:tcW w:w="848"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2.</w:t>
            </w:r>
            <w:r>
              <w:rPr>
                <w:lang w:eastAsia="en-AU"/>
              </w:rPr>
              <w:t>2</w:t>
            </w:r>
            <w:r w:rsidRPr="00F71338">
              <w:rPr>
                <w:lang w:eastAsia="en-AU"/>
              </w:rPr>
              <w:t>5</w:t>
            </w:r>
          </w:p>
        </w:tc>
        <w:tc>
          <w:tcPr>
            <w:tcW w:w="847"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2.50</w:t>
            </w:r>
          </w:p>
        </w:tc>
        <w:tc>
          <w:tcPr>
            <w:tcW w:w="853" w:type="dxa"/>
            <w:gridSpan w:val="3"/>
            <w:tcBorders>
              <w:top w:val="nil"/>
              <w:left w:val="nil"/>
              <w:bottom w:val="nil"/>
              <w:right w:val="nil"/>
            </w:tcBorders>
          </w:tcPr>
          <w:p w:rsidR="00F60B5F" w:rsidRPr="00F71338" w:rsidRDefault="00F60B5F" w:rsidP="005C19CE">
            <w:pPr>
              <w:pStyle w:val="TableofFigures"/>
              <w:rPr>
                <w:lang w:eastAsia="en-AU"/>
              </w:rPr>
            </w:pPr>
            <w:r w:rsidRPr="00F71338">
              <w:rPr>
                <w:lang w:eastAsia="en-AU"/>
              </w:rPr>
              <w:t>2.50</w:t>
            </w:r>
          </w:p>
        </w:tc>
      </w:tr>
      <w:tr w:rsidR="00F60B5F" w:rsidRPr="00DF427C" w:rsidTr="005C19CE">
        <w:tc>
          <w:tcPr>
            <w:tcW w:w="4058" w:type="dxa"/>
            <w:tcBorders>
              <w:top w:val="nil"/>
              <w:left w:val="nil"/>
              <w:bottom w:val="nil"/>
              <w:right w:val="nil"/>
            </w:tcBorders>
          </w:tcPr>
          <w:p w:rsidR="00F60B5F" w:rsidRPr="00DF427C" w:rsidRDefault="00F60B5F" w:rsidP="005C19CE">
            <w:pPr>
              <w:pStyle w:val="Tabletext"/>
              <w:rPr>
                <w:vertAlign w:val="superscript"/>
                <w:lang w:eastAsia="en-AU"/>
              </w:rPr>
            </w:pPr>
            <w:r w:rsidRPr="00DF427C">
              <w:rPr>
                <w:lang w:eastAsia="en-AU"/>
              </w:rPr>
              <w:t xml:space="preserve">Wage price index </w:t>
            </w:r>
            <w:r>
              <w:rPr>
                <w:vertAlign w:val="superscript"/>
                <w:lang w:eastAsia="en-AU"/>
              </w:rPr>
              <w:t>(d</w:t>
            </w:r>
            <w:r w:rsidRPr="00DF427C">
              <w:rPr>
                <w:vertAlign w:val="superscript"/>
                <w:lang w:eastAsia="en-AU"/>
              </w:rPr>
              <w:t>)</w:t>
            </w:r>
          </w:p>
        </w:tc>
        <w:tc>
          <w:tcPr>
            <w:tcW w:w="854" w:type="dxa"/>
            <w:gridSpan w:val="2"/>
            <w:tcBorders>
              <w:top w:val="nil"/>
              <w:left w:val="nil"/>
              <w:bottom w:val="nil"/>
              <w:right w:val="nil"/>
            </w:tcBorders>
          </w:tcPr>
          <w:p w:rsidR="00F60B5F" w:rsidRPr="00F71338" w:rsidRDefault="00F60B5F" w:rsidP="005C19CE">
            <w:pPr>
              <w:pStyle w:val="TableofFigures"/>
              <w:rPr>
                <w:lang w:eastAsia="en-AU"/>
              </w:rPr>
            </w:pPr>
            <w:r w:rsidRPr="00F71338">
              <w:rPr>
                <w:lang w:eastAsia="en-AU"/>
              </w:rPr>
              <w:t>3.</w:t>
            </w:r>
            <w:r>
              <w:rPr>
                <w:lang w:eastAsia="en-AU"/>
              </w:rPr>
              <w:t>0</w:t>
            </w:r>
            <w:r w:rsidRPr="00F71338">
              <w:rPr>
                <w:lang w:eastAsia="en-AU"/>
              </w:rPr>
              <w:t>0</w:t>
            </w:r>
          </w:p>
        </w:tc>
        <w:tc>
          <w:tcPr>
            <w:tcW w:w="848"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3.</w:t>
            </w:r>
            <w:r>
              <w:rPr>
                <w:lang w:eastAsia="en-AU"/>
              </w:rPr>
              <w:t>25</w:t>
            </w:r>
          </w:p>
        </w:tc>
        <w:tc>
          <w:tcPr>
            <w:tcW w:w="847" w:type="dxa"/>
            <w:tcBorders>
              <w:top w:val="nil"/>
              <w:left w:val="nil"/>
              <w:bottom w:val="nil"/>
              <w:right w:val="nil"/>
            </w:tcBorders>
          </w:tcPr>
          <w:p w:rsidR="00F60B5F" w:rsidRPr="00F71338" w:rsidRDefault="00F60B5F" w:rsidP="005C19CE">
            <w:pPr>
              <w:pStyle w:val="TableofFigures"/>
              <w:rPr>
                <w:lang w:eastAsia="en-AU"/>
              </w:rPr>
            </w:pPr>
            <w:r w:rsidRPr="00F71338">
              <w:rPr>
                <w:lang w:eastAsia="en-AU"/>
              </w:rPr>
              <w:t>3.50</w:t>
            </w:r>
          </w:p>
        </w:tc>
        <w:tc>
          <w:tcPr>
            <w:tcW w:w="853" w:type="dxa"/>
            <w:gridSpan w:val="3"/>
            <w:tcBorders>
              <w:top w:val="nil"/>
              <w:left w:val="nil"/>
              <w:bottom w:val="nil"/>
              <w:right w:val="nil"/>
            </w:tcBorders>
          </w:tcPr>
          <w:p w:rsidR="00F60B5F" w:rsidRPr="00F71338" w:rsidRDefault="00F60B5F" w:rsidP="005C19CE">
            <w:pPr>
              <w:pStyle w:val="TableofFigures"/>
              <w:rPr>
                <w:lang w:eastAsia="en-AU"/>
              </w:rPr>
            </w:pPr>
            <w:r w:rsidRPr="00F71338">
              <w:rPr>
                <w:lang w:eastAsia="en-AU"/>
              </w:rPr>
              <w:t>3.50</w:t>
            </w:r>
          </w:p>
        </w:tc>
      </w:tr>
      <w:tr w:rsidR="00F60B5F" w:rsidRPr="00DF427C" w:rsidTr="005C19CE">
        <w:tc>
          <w:tcPr>
            <w:tcW w:w="4058" w:type="dxa"/>
            <w:tcBorders>
              <w:top w:val="nil"/>
              <w:left w:val="nil"/>
              <w:bottom w:val="single" w:sz="12" w:space="0" w:color="auto"/>
              <w:right w:val="nil"/>
            </w:tcBorders>
          </w:tcPr>
          <w:p w:rsidR="00F60B5F" w:rsidRPr="00DF427C" w:rsidRDefault="00F60B5F" w:rsidP="005C19CE">
            <w:pPr>
              <w:pStyle w:val="Tabletext"/>
              <w:rPr>
                <w:vertAlign w:val="superscript"/>
                <w:lang w:eastAsia="en-AU"/>
              </w:rPr>
            </w:pPr>
            <w:r w:rsidRPr="00DF427C">
              <w:rPr>
                <w:lang w:eastAsia="en-AU"/>
              </w:rPr>
              <w:t xml:space="preserve">Population </w:t>
            </w:r>
          </w:p>
        </w:tc>
        <w:tc>
          <w:tcPr>
            <w:tcW w:w="854" w:type="dxa"/>
            <w:gridSpan w:val="2"/>
            <w:tcBorders>
              <w:top w:val="nil"/>
              <w:left w:val="nil"/>
              <w:bottom w:val="single" w:sz="12" w:space="0" w:color="auto"/>
              <w:right w:val="nil"/>
            </w:tcBorders>
          </w:tcPr>
          <w:p w:rsidR="00F60B5F" w:rsidRPr="00F71338" w:rsidRDefault="00F60B5F" w:rsidP="005C19CE">
            <w:pPr>
              <w:pStyle w:val="TableofFigures"/>
              <w:rPr>
                <w:lang w:eastAsia="en-AU"/>
              </w:rPr>
            </w:pPr>
            <w:r w:rsidRPr="00F71338">
              <w:rPr>
                <w:lang w:eastAsia="en-AU"/>
              </w:rPr>
              <w:t>1.70</w:t>
            </w:r>
          </w:p>
        </w:tc>
        <w:tc>
          <w:tcPr>
            <w:tcW w:w="848" w:type="dxa"/>
            <w:tcBorders>
              <w:top w:val="nil"/>
              <w:left w:val="nil"/>
              <w:bottom w:val="single" w:sz="12" w:space="0" w:color="auto"/>
              <w:right w:val="nil"/>
            </w:tcBorders>
          </w:tcPr>
          <w:p w:rsidR="00F60B5F" w:rsidRPr="00F71338" w:rsidRDefault="00F60B5F" w:rsidP="005C19CE">
            <w:pPr>
              <w:pStyle w:val="TableofFigures"/>
              <w:rPr>
                <w:lang w:eastAsia="en-AU"/>
              </w:rPr>
            </w:pPr>
            <w:r w:rsidRPr="00F71338">
              <w:rPr>
                <w:lang w:eastAsia="en-AU"/>
              </w:rPr>
              <w:t>1.70</w:t>
            </w:r>
          </w:p>
        </w:tc>
        <w:tc>
          <w:tcPr>
            <w:tcW w:w="847" w:type="dxa"/>
            <w:tcBorders>
              <w:top w:val="nil"/>
              <w:left w:val="nil"/>
              <w:bottom w:val="single" w:sz="12" w:space="0" w:color="auto"/>
              <w:right w:val="nil"/>
            </w:tcBorders>
          </w:tcPr>
          <w:p w:rsidR="00F60B5F" w:rsidRPr="00F71338" w:rsidRDefault="00F60B5F" w:rsidP="005C19CE">
            <w:pPr>
              <w:pStyle w:val="TableofFigures"/>
              <w:rPr>
                <w:lang w:eastAsia="en-AU"/>
              </w:rPr>
            </w:pPr>
            <w:r w:rsidRPr="00F71338">
              <w:rPr>
                <w:lang w:eastAsia="en-AU"/>
              </w:rPr>
              <w:t>1.70</w:t>
            </w:r>
          </w:p>
        </w:tc>
        <w:tc>
          <w:tcPr>
            <w:tcW w:w="853" w:type="dxa"/>
            <w:gridSpan w:val="3"/>
            <w:tcBorders>
              <w:top w:val="nil"/>
              <w:left w:val="nil"/>
              <w:bottom w:val="single" w:sz="12" w:space="0" w:color="auto"/>
              <w:right w:val="nil"/>
            </w:tcBorders>
          </w:tcPr>
          <w:p w:rsidR="00F60B5F" w:rsidRPr="00F71338" w:rsidRDefault="00F60B5F" w:rsidP="005C19CE">
            <w:pPr>
              <w:pStyle w:val="TableofFigures"/>
              <w:rPr>
                <w:lang w:eastAsia="en-AU"/>
              </w:rPr>
            </w:pPr>
            <w:r w:rsidRPr="00F71338">
              <w:rPr>
                <w:lang w:eastAsia="en-AU"/>
              </w:rPr>
              <w:t>1.70</w:t>
            </w:r>
          </w:p>
        </w:tc>
      </w:tr>
    </w:tbl>
    <w:p w:rsidR="00F60B5F" w:rsidRPr="00DF427C" w:rsidRDefault="00F60B5F" w:rsidP="005C19CE">
      <w:pPr>
        <w:pStyle w:val="Source"/>
      </w:pPr>
      <w:r w:rsidRPr="00DF427C">
        <w:t>Source: Department of Treasury and Finance</w:t>
      </w:r>
    </w:p>
    <w:p w:rsidR="00F60B5F" w:rsidRDefault="00F60B5F" w:rsidP="005C19CE">
      <w:pPr>
        <w:pStyle w:val="Notes"/>
      </w:pPr>
      <w:r>
        <w:t>Notes:</w:t>
      </w:r>
    </w:p>
    <w:p w:rsidR="00F60B5F" w:rsidRDefault="00F60B5F" w:rsidP="005C19CE">
      <w:pPr>
        <w:pStyle w:val="Notes"/>
      </w:pPr>
      <w:r>
        <w:t>(a)</w:t>
      </w:r>
      <w:r>
        <w:tab/>
        <w:t>The key assumptions underlying the economic projections include interest rates that follow market expectations up to the March quarter 2015 and held constant thereafter, constant exchange rates, and oil prices that follow the path suggested by oil futures.</w:t>
      </w:r>
    </w:p>
    <w:p w:rsidR="00F60B5F" w:rsidRDefault="00F60B5F" w:rsidP="005C19CE">
      <w:pPr>
        <w:pStyle w:val="Notes"/>
      </w:pPr>
      <w:r>
        <w:t xml:space="preserve">(b) </w:t>
      </w:r>
      <w:r>
        <w:tab/>
        <w:t>Year</w:t>
      </w:r>
      <w:r>
        <w:noBreakHyphen/>
        <w:t>average per cent change on previous year, except for the unemployment rate which is a year</w:t>
      </w:r>
      <w:r>
        <w:noBreakHyphen/>
        <w:t>average per cent, and population which is a year</w:t>
      </w:r>
      <w:r>
        <w:noBreakHyphen/>
        <w:t xml:space="preserve">ended per cent change to 30 June. All economic projections are rounded to the nearest 0.25 percentage point, except population projections, which are rounded to the nearest 0.1 percentage point. </w:t>
      </w:r>
    </w:p>
    <w:p w:rsidR="00F60B5F" w:rsidRDefault="00F60B5F" w:rsidP="005C19CE">
      <w:pPr>
        <w:pStyle w:val="Notes"/>
      </w:pPr>
      <w:r>
        <w:t>(c)</w:t>
      </w:r>
      <w:r>
        <w:tab/>
        <w:t>All references to the consumer price index refer to the Melbourne consumer price index.</w:t>
      </w:r>
    </w:p>
    <w:p w:rsidR="00F60B5F" w:rsidRPr="00DF427C" w:rsidRDefault="00F60B5F" w:rsidP="005C19CE">
      <w:pPr>
        <w:pStyle w:val="Notes"/>
        <w:rPr>
          <w:lang w:eastAsia="en-AU"/>
        </w:rPr>
      </w:pPr>
      <w:r>
        <w:t>(d)</w:t>
      </w:r>
      <w:r>
        <w:tab/>
        <w:t>Total hourly rate excluding bonuses.</w:t>
      </w:r>
    </w:p>
    <w:p w:rsidR="00F60B5F" w:rsidRPr="00AE6010" w:rsidRDefault="00F60B5F" w:rsidP="00AE6010">
      <w:pPr>
        <w:pStyle w:val="Heading2NotesContd"/>
        <w:rPr>
          <w:i/>
        </w:rPr>
      </w:pPr>
      <w:r>
        <w:t>Note 1:</w:t>
      </w:r>
      <w:r>
        <w:tab/>
        <w:t xml:space="preserve">Statement of significant accounting policies and forecast assumptions </w:t>
      </w:r>
      <w:r>
        <w:rPr>
          <w:i/>
        </w:rPr>
        <w:t>(continued)</w:t>
      </w:r>
    </w:p>
    <w:p w:rsidR="00F60B5F" w:rsidRPr="00DF427C" w:rsidRDefault="00F60B5F" w:rsidP="005C19CE">
      <w:pPr>
        <w:pStyle w:val="Heading3Numbering"/>
        <w:numPr>
          <w:ilvl w:val="0"/>
          <w:numId w:val="0"/>
        </w:numPr>
        <w:spacing w:before="280"/>
        <w:rPr>
          <w:sz w:val="18"/>
          <w:szCs w:val="18"/>
        </w:rPr>
      </w:pPr>
      <w:r w:rsidRPr="00DF427C">
        <w:rPr>
          <w:i w:val="0"/>
          <w:kern w:val="0"/>
          <w:sz w:val="22"/>
          <w:szCs w:val="20"/>
        </w:rPr>
        <w:t>Revised forecast assumptions for superannuation</w:t>
      </w:r>
      <w:r w:rsidRPr="00DF427C">
        <w:rPr>
          <w:sz w:val="18"/>
          <w:szCs w:val="18"/>
        </w:rPr>
        <w:t xml:space="preserve"> </w:t>
      </w:r>
    </w:p>
    <w:p w:rsidR="00F60B5F" w:rsidRPr="00DF427C" w:rsidRDefault="00F60B5F" w:rsidP="005C19CE">
      <w:pPr>
        <w:autoSpaceDE w:val="0"/>
        <w:autoSpaceDN w:val="0"/>
        <w:adjustRightInd w:val="0"/>
      </w:pPr>
      <w:r w:rsidRPr="00DF427C">
        <w:t xml:space="preserve">The accounting policies relating to superannuation expenses and liabilities are consistent with those applied in preparing and presenting the </w:t>
      </w:r>
      <w:r>
        <w:rPr>
          <w:i/>
        </w:rPr>
        <w:t>2013</w:t>
      </w:r>
      <w:r>
        <w:rPr>
          <w:i/>
        </w:rPr>
        <w:noBreakHyphen/>
        <w:t>14</w:t>
      </w:r>
      <w:r w:rsidRPr="00DF427C">
        <w:t xml:space="preserve"> </w:t>
      </w:r>
      <w:r w:rsidRPr="00DF427C">
        <w:rPr>
          <w:i/>
        </w:rPr>
        <w:t>Budget</w:t>
      </w:r>
      <w:r w:rsidRPr="00DF427C">
        <w:t>. However, the forecast assumptions have been revised for the budget year and forward years for each relevant defined benefit superannuation scheme as disclosed in the following table.</w:t>
      </w:r>
    </w:p>
    <w:tbl>
      <w:tblPr>
        <w:tblW w:w="7669" w:type="dxa"/>
        <w:tblInd w:w="29" w:type="dxa"/>
        <w:tblLayout w:type="fixed"/>
        <w:tblCellMar>
          <w:left w:w="43" w:type="dxa"/>
          <w:right w:w="43" w:type="dxa"/>
        </w:tblCellMar>
        <w:tblLook w:val="00A0" w:firstRow="1" w:lastRow="0" w:firstColumn="1" w:lastColumn="0" w:noHBand="0" w:noVBand="0"/>
      </w:tblPr>
      <w:tblGrid>
        <w:gridCol w:w="6535"/>
        <w:gridCol w:w="1134"/>
      </w:tblGrid>
      <w:tr w:rsidR="00F60B5F" w:rsidRPr="00DF427C" w:rsidTr="00406DA8">
        <w:tc>
          <w:tcPr>
            <w:tcW w:w="6535" w:type="dxa"/>
            <w:tcBorders>
              <w:top w:val="single" w:sz="6" w:space="0" w:color="000000"/>
              <w:left w:val="single" w:sz="6" w:space="0" w:color="000000"/>
              <w:bottom w:val="single" w:sz="6" w:space="0" w:color="000000"/>
            </w:tcBorders>
            <w:shd w:val="clear" w:color="auto" w:fill="000000"/>
          </w:tcPr>
          <w:p w:rsidR="00F60B5F" w:rsidRPr="00DF427C" w:rsidRDefault="00F60B5F" w:rsidP="005C19CE">
            <w:pPr>
              <w:autoSpaceDE w:val="0"/>
              <w:autoSpaceDN w:val="0"/>
              <w:adjustRightInd w:val="0"/>
              <w:spacing w:after="0"/>
              <w:rPr>
                <w:rFonts w:ascii="Calibri" w:hAnsi="Calibri" w:cs="Calibri"/>
                <w:i/>
                <w:iCs/>
                <w:szCs w:val="22"/>
                <w:vertAlign w:val="superscript"/>
                <w:lang w:eastAsia="en-AU"/>
              </w:rPr>
            </w:pPr>
            <w:r w:rsidRPr="00DF427C">
              <w:rPr>
                <w:rFonts w:ascii="Calibri" w:hAnsi="Calibri" w:cs="Calibri"/>
                <w:i/>
                <w:iCs/>
                <w:sz w:val="20"/>
                <w:lang w:eastAsia="en-AU"/>
              </w:rPr>
              <w:t>Underlying assumptions for all listed schemes</w:t>
            </w:r>
            <w:r w:rsidRPr="00DF427C">
              <w:rPr>
                <w:rFonts w:ascii="Calibri" w:hAnsi="Calibri" w:cs="Calibri"/>
                <w:i/>
                <w:iCs/>
                <w:szCs w:val="22"/>
                <w:vertAlign w:val="superscript"/>
                <w:lang w:eastAsia="en-AU"/>
              </w:rPr>
              <w:t xml:space="preserve"> (a)</w:t>
            </w:r>
          </w:p>
        </w:tc>
        <w:tc>
          <w:tcPr>
            <w:tcW w:w="1134" w:type="dxa"/>
            <w:tcBorders>
              <w:top w:val="single" w:sz="6" w:space="0" w:color="000000"/>
              <w:bottom w:val="single" w:sz="6" w:space="0" w:color="000000"/>
              <w:right w:val="single" w:sz="6" w:space="0" w:color="000000"/>
            </w:tcBorders>
            <w:shd w:val="clear" w:color="auto" w:fill="000000"/>
          </w:tcPr>
          <w:p w:rsidR="00F60B5F" w:rsidRPr="00DF427C" w:rsidRDefault="00F60B5F" w:rsidP="005C19CE">
            <w:pPr>
              <w:autoSpaceDE w:val="0"/>
              <w:autoSpaceDN w:val="0"/>
              <w:adjustRightInd w:val="0"/>
              <w:spacing w:after="0"/>
              <w:jc w:val="right"/>
              <w:rPr>
                <w:rFonts w:ascii="Calibri" w:hAnsi="Calibri" w:cs="Calibri"/>
                <w:i/>
                <w:iCs/>
                <w:sz w:val="20"/>
                <w:lang w:eastAsia="en-AU"/>
              </w:rPr>
            </w:pPr>
            <w:r w:rsidRPr="00DF427C">
              <w:rPr>
                <w:rFonts w:ascii="Calibri" w:hAnsi="Calibri" w:cs="Calibri"/>
                <w:i/>
                <w:iCs/>
                <w:sz w:val="20"/>
                <w:lang w:eastAsia="en-AU"/>
              </w:rPr>
              <w:t>Per cent</w:t>
            </w:r>
          </w:p>
        </w:tc>
      </w:tr>
      <w:tr w:rsidR="00F60B5F" w:rsidRPr="00DF427C" w:rsidTr="00406DA8">
        <w:tc>
          <w:tcPr>
            <w:tcW w:w="6535" w:type="dxa"/>
            <w:tcBorders>
              <w:top w:val="single" w:sz="6" w:space="0" w:color="000000"/>
            </w:tcBorders>
          </w:tcPr>
          <w:p w:rsidR="00F60B5F" w:rsidRPr="00DF427C" w:rsidRDefault="00F60B5F" w:rsidP="00376390">
            <w:pPr>
              <w:autoSpaceDE w:val="0"/>
              <w:autoSpaceDN w:val="0"/>
              <w:adjustRightInd w:val="0"/>
              <w:spacing w:before="20" w:after="0"/>
              <w:ind w:left="180" w:hanging="180"/>
              <w:rPr>
                <w:rFonts w:ascii="Calibri" w:hAnsi="Calibri" w:cs="Calibri"/>
                <w:sz w:val="20"/>
                <w:vertAlign w:val="superscript"/>
                <w:lang w:eastAsia="en-AU"/>
              </w:rPr>
            </w:pPr>
            <w:r w:rsidRPr="00DF427C">
              <w:rPr>
                <w:rFonts w:ascii="Calibri" w:hAnsi="Calibri"/>
                <w:sz w:val="20"/>
                <w:szCs w:val="18"/>
              </w:rPr>
              <w:t>Discount rate</w:t>
            </w:r>
            <w:r w:rsidRPr="00DF427C">
              <w:rPr>
                <w:rFonts w:ascii="Calibri" w:hAnsi="Calibri" w:cs="Calibri"/>
                <w:sz w:val="20"/>
                <w:vertAlign w:val="superscript"/>
                <w:lang w:eastAsia="en-AU"/>
              </w:rPr>
              <w:t xml:space="preserve"> (b)</w:t>
            </w:r>
          </w:p>
        </w:tc>
        <w:tc>
          <w:tcPr>
            <w:tcW w:w="1134" w:type="dxa"/>
            <w:tcBorders>
              <w:top w:val="single" w:sz="6" w:space="0" w:color="000000"/>
            </w:tcBorders>
          </w:tcPr>
          <w:p w:rsidR="00F60B5F" w:rsidRPr="00DF427C" w:rsidRDefault="00F60B5F" w:rsidP="00376390">
            <w:pPr>
              <w:keepNext/>
              <w:keepLines/>
              <w:autoSpaceDE w:val="0"/>
              <w:autoSpaceDN w:val="0"/>
              <w:adjustRightInd w:val="0"/>
              <w:spacing w:before="20" w:after="0"/>
              <w:ind w:left="347"/>
              <w:jc w:val="right"/>
              <w:rPr>
                <w:rFonts w:ascii="Calibri" w:hAnsi="Calibri" w:cs="Calibri"/>
                <w:sz w:val="20"/>
                <w:lang w:eastAsia="en-AU"/>
              </w:rPr>
            </w:pPr>
            <w:r>
              <w:rPr>
                <w:rFonts w:ascii="Calibri" w:hAnsi="Calibri" w:cs="Calibri"/>
                <w:sz w:val="20"/>
                <w:lang w:eastAsia="en-AU"/>
              </w:rPr>
              <w:t>4.4</w:t>
            </w:r>
          </w:p>
        </w:tc>
      </w:tr>
      <w:tr w:rsidR="00F60B5F" w:rsidRPr="00DF427C" w:rsidTr="00406DA8">
        <w:tc>
          <w:tcPr>
            <w:tcW w:w="6535" w:type="dxa"/>
          </w:tcPr>
          <w:p w:rsidR="00F60B5F" w:rsidRPr="00DF427C" w:rsidRDefault="00F60B5F" w:rsidP="005C19CE">
            <w:pPr>
              <w:autoSpaceDE w:val="0"/>
              <w:autoSpaceDN w:val="0"/>
              <w:adjustRightInd w:val="0"/>
              <w:spacing w:after="0"/>
              <w:ind w:left="180" w:hanging="180"/>
              <w:rPr>
                <w:rFonts w:ascii="Calibri" w:hAnsi="Calibri" w:cs="Calibri"/>
                <w:sz w:val="20"/>
                <w:vertAlign w:val="superscript"/>
                <w:lang w:eastAsia="en-AU"/>
              </w:rPr>
            </w:pPr>
            <w:r w:rsidRPr="00DF427C">
              <w:rPr>
                <w:rFonts w:ascii="Calibri" w:hAnsi="Calibri" w:cs="Calibri"/>
                <w:sz w:val="20"/>
                <w:lang w:eastAsia="en-AU"/>
              </w:rPr>
              <w:t xml:space="preserve">Wages growth </w:t>
            </w:r>
            <w:r w:rsidRPr="00DF427C">
              <w:rPr>
                <w:rFonts w:ascii="Calibri" w:hAnsi="Calibri" w:cs="Calibri"/>
                <w:sz w:val="20"/>
                <w:vertAlign w:val="superscript"/>
                <w:lang w:eastAsia="en-AU"/>
              </w:rPr>
              <w:t>(c)</w:t>
            </w:r>
          </w:p>
        </w:tc>
        <w:tc>
          <w:tcPr>
            <w:tcW w:w="1134" w:type="dxa"/>
          </w:tcPr>
          <w:p w:rsidR="00F60B5F" w:rsidRPr="00DF427C" w:rsidRDefault="00F60B5F" w:rsidP="005C19CE">
            <w:pPr>
              <w:keepNext/>
              <w:keepLines/>
              <w:autoSpaceDE w:val="0"/>
              <w:autoSpaceDN w:val="0"/>
              <w:adjustRightInd w:val="0"/>
              <w:spacing w:after="0"/>
              <w:ind w:left="347"/>
              <w:jc w:val="right"/>
              <w:rPr>
                <w:rFonts w:ascii="Calibri" w:hAnsi="Calibri" w:cs="Calibri"/>
                <w:sz w:val="20"/>
                <w:lang w:eastAsia="en-AU"/>
              </w:rPr>
            </w:pPr>
            <w:r>
              <w:rPr>
                <w:rFonts w:ascii="Calibri" w:hAnsi="Calibri" w:cs="Calibri"/>
                <w:sz w:val="20"/>
                <w:lang w:eastAsia="en-AU"/>
              </w:rPr>
              <w:t>3.8</w:t>
            </w:r>
          </w:p>
        </w:tc>
      </w:tr>
      <w:tr w:rsidR="00F60B5F" w:rsidRPr="00DF427C" w:rsidTr="00406DA8">
        <w:tc>
          <w:tcPr>
            <w:tcW w:w="6535" w:type="dxa"/>
            <w:tcBorders>
              <w:bottom w:val="single" w:sz="6" w:space="0" w:color="000000"/>
            </w:tcBorders>
          </w:tcPr>
          <w:p w:rsidR="00F60B5F" w:rsidRPr="00DF427C" w:rsidRDefault="00F60B5F" w:rsidP="005C19CE">
            <w:pPr>
              <w:autoSpaceDE w:val="0"/>
              <w:autoSpaceDN w:val="0"/>
              <w:adjustRightInd w:val="0"/>
              <w:spacing w:after="0"/>
              <w:ind w:left="180" w:hanging="180"/>
              <w:rPr>
                <w:rFonts w:ascii="Calibri" w:hAnsi="Calibri" w:cs="Calibri"/>
                <w:sz w:val="20"/>
                <w:vertAlign w:val="superscript"/>
                <w:lang w:eastAsia="en-AU"/>
              </w:rPr>
            </w:pPr>
            <w:r w:rsidRPr="00DF427C">
              <w:rPr>
                <w:rFonts w:ascii="Calibri" w:hAnsi="Calibri" w:cs="Calibri"/>
                <w:sz w:val="20"/>
                <w:lang w:eastAsia="en-AU"/>
              </w:rPr>
              <w:t xml:space="preserve">Inflation rate </w:t>
            </w:r>
            <w:r w:rsidRPr="00DF427C">
              <w:rPr>
                <w:rFonts w:ascii="Calibri" w:hAnsi="Calibri" w:cs="Calibri"/>
                <w:sz w:val="20"/>
                <w:vertAlign w:val="superscript"/>
                <w:lang w:eastAsia="en-AU"/>
              </w:rPr>
              <w:t>(d)</w:t>
            </w:r>
          </w:p>
        </w:tc>
        <w:tc>
          <w:tcPr>
            <w:tcW w:w="1134" w:type="dxa"/>
            <w:tcBorders>
              <w:bottom w:val="single" w:sz="6" w:space="0" w:color="000000"/>
            </w:tcBorders>
          </w:tcPr>
          <w:p w:rsidR="00F60B5F" w:rsidRPr="00DF427C" w:rsidRDefault="00F60B5F" w:rsidP="005C19CE">
            <w:pPr>
              <w:keepNext/>
              <w:keepLines/>
              <w:autoSpaceDE w:val="0"/>
              <w:autoSpaceDN w:val="0"/>
              <w:adjustRightInd w:val="0"/>
              <w:spacing w:after="0"/>
              <w:ind w:left="347"/>
              <w:jc w:val="right"/>
              <w:rPr>
                <w:rFonts w:ascii="Calibri" w:hAnsi="Calibri" w:cs="Calibri"/>
                <w:sz w:val="20"/>
                <w:lang w:eastAsia="en-AU"/>
              </w:rPr>
            </w:pPr>
            <w:r>
              <w:rPr>
                <w:rFonts w:ascii="Calibri" w:hAnsi="Calibri" w:cs="Calibri"/>
                <w:sz w:val="20"/>
                <w:lang w:eastAsia="en-AU"/>
              </w:rPr>
              <w:t>2.3</w:t>
            </w:r>
          </w:p>
        </w:tc>
      </w:tr>
      <w:tr w:rsidR="00F60B5F" w:rsidRPr="00DF427C" w:rsidTr="00406DA8">
        <w:tc>
          <w:tcPr>
            <w:tcW w:w="6535" w:type="dxa"/>
            <w:tcBorders>
              <w:top w:val="single" w:sz="6" w:space="0" w:color="000000"/>
              <w:left w:val="single" w:sz="6" w:space="0" w:color="000000"/>
              <w:bottom w:val="single" w:sz="6" w:space="0" w:color="000000"/>
            </w:tcBorders>
            <w:shd w:val="clear" w:color="auto" w:fill="000000"/>
          </w:tcPr>
          <w:p w:rsidR="00F60B5F" w:rsidRPr="00DF427C" w:rsidRDefault="00F60B5F" w:rsidP="00376390">
            <w:pPr>
              <w:autoSpaceDE w:val="0"/>
              <w:autoSpaceDN w:val="0"/>
              <w:adjustRightInd w:val="0"/>
              <w:spacing w:before="20" w:after="0"/>
              <w:rPr>
                <w:rFonts w:ascii="Calibri" w:hAnsi="Calibri" w:cs="Calibri"/>
                <w:i/>
                <w:iCs/>
                <w:sz w:val="20"/>
                <w:vertAlign w:val="superscript"/>
                <w:lang w:eastAsia="en-AU"/>
              </w:rPr>
            </w:pPr>
            <w:r w:rsidRPr="00DF427C">
              <w:rPr>
                <w:rFonts w:ascii="Calibri" w:hAnsi="Calibri" w:cs="Calibri"/>
                <w:i/>
                <w:iCs/>
                <w:sz w:val="20"/>
                <w:lang w:eastAsia="en-AU"/>
              </w:rPr>
              <w:t xml:space="preserve">Expected return on assets </w:t>
            </w:r>
            <w:r w:rsidRPr="00DF427C">
              <w:rPr>
                <w:rFonts w:ascii="Calibri" w:hAnsi="Calibri" w:cs="Calibri"/>
                <w:i/>
                <w:iCs/>
                <w:sz w:val="20"/>
                <w:vertAlign w:val="superscript"/>
                <w:lang w:eastAsia="en-AU"/>
              </w:rPr>
              <w:t>(e)</w:t>
            </w:r>
          </w:p>
        </w:tc>
        <w:tc>
          <w:tcPr>
            <w:tcW w:w="1134" w:type="dxa"/>
            <w:tcBorders>
              <w:top w:val="single" w:sz="6" w:space="0" w:color="000000"/>
              <w:bottom w:val="single" w:sz="6" w:space="0" w:color="000000"/>
              <w:right w:val="single" w:sz="6" w:space="0" w:color="000000"/>
            </w:tcBorders>
            <w:shd w:val="clear" w:color="auto" w:fill="000000"/>
          </w:tcPr>
          <w:p w:rsidR="00F60B5F" w:rsidRPr="00DF427C" w:rsidRDefault="00F60B5F" w:rsidP="00376390">
            <w:pPr>
              <w:autoSpaceDE w:val="0"/>
              <w:autoSpaceDN w:val="0"/>
              <w:adjustRightInd w:val="0"/>
              <w:spacing w:before="20" w:after="0"/>
              <w:ind w:left="347"/>
              <w:rPr>
                <w:rFonts w:ascii="Calibri" w:hAnsi="Calibri" w:cs="Calibri"/>
                <w:i/>
                <w:iCs/>
                <w:sz w:val="20"/>
                <w:vertAlign w:val="superscript"/>
                <w:lang w:eastAsia="en-AU"/>
              </w:rPr>
            </w:pPr>
          </w:p>
        </w:tc>
      </w:tr>
      <w:tr w:rsidR="00F60B5F" w:rsidRPr="00DF427C" w:rsidTr="00406DA8">
        <w:tc>
          <w:tcPr>
            <w:tcW w:w="6535" w:type="dxa"/>
            <w:tcBorders>
              <w:top w:val="single" w:sz="6" w:space="0" w:color="000000"/>
            </w:tcBorders>
          </w:tcPr>
          <w:p w:rsidR="00F60B5F" w:rsidRPr="00DF427C" w:rsidRDefault="00F60B5F" w:rsidP="005C19CE">
            <w:pPr>
              <w:autoSpaceDE w:val="0"/>
              <w:autoSpaceDN w:val="0"/>
              <w:adjustRightInd w:val="0"/>
              <w:spacing w:after="0"/>
              <w:ind w:left="180" w:hanging="180"/>
              <w:rPr>
                <w:rFonts w:ascii="Calibri" w:hAnsi="Calibri" w:cs="Calibri"/>
                <w:sz w:val="20"/>
                <w:lang w:eastAsia="en-AU"/>
              </w:rPr>
            </w:pPr>
            <w:r w:rsidRPr="00DF427C">
              <w:rPr>
                <w:rFonts w:ascii="Calibri" w:hAnsi="Calibri" w:cs="Calibri"/>
                <w:sz w:val="20"/>
                <w:lang w:eastAsia="en-AU"/>
              </w:rPr>
              <w:t xml:space="preserve">Emergency Services and State Super </w:t>
            </w:r>
          </w:p>
        </w:tc>
        <w:tc>
          <w:tcPr>
            <w:tcW w:w="1134" w:type="dxa"/>
            <w:tcBorders>
              <w:top w:val="single" w:sz="6" w:space="0" w:color="000000"/>
            </w:tcBorders>
          </w:tcPr>
          <w:p w:rsidR="00F60B5F" w:rsidRPr="00DF427C" w:rsidRDefault="00F60B5F" w:rsidP="005C19CE">
            <w:pPr>
              <w:keepNext/>
              <w:keepLines/>
              <w:autoSpaceDE w:val="0"/>
              <w:autoSpaceDN w:val="0"/>
              <w:adjustRightInd w:val="0"/>
              <w:spacing w:after="0"/>
              <w:ind w:left="347"/>
              <w:jc w:val="right"/>
              <w:rPr>
                <w:rFonts w:ascii="Calibri" w:hAnsi="Calibri" w:cs="Calibri"/>
                <w:sz w:val="20"/>
                <w:lang w:eastAsia="en-AU"/>
              </w:rPr>
            </w:pPr>
            <w:r w:rsidRPr="00DF427C">
              <w:rPr>
                <w:rFonts w:ascii="Calibri" w:hAnsi="Calibri" w:cs="Calibri"/>
                <w:sz w:val="20"/>
                <w:lang w:eastAsia="en-AU"/>
              </w:rPr>
              <w:t>8.0</w:t>
            </w:r>
          </w:p>
        </w:tc>
      </w:tr>
      <w:tr w:rsidR="00F60B5F" w:rsidRPr="00DF427C" w:rsidTr="00406DA8">
        <w:tc>
          <w:tcPr>
            <w:tcW w:w="6535" w:type="dxa"/>
          </w:tcPr>
          <w:p w:rsidR="00F60B5F" w:rsidRPr="00DF427C" w:rsidRDefault="00F60B5F" w:rsidP="005C19CE">
            <w:pPr>
              <w:autoSpaceDE w:val="0"/>
              <w:autoSpaceDN w:val="0"/>
              <w:adjustRightInd w:val="0"/>
              <w:spacing w:after="0"/>
              <w:ind w:left="180" w:hanging="180"/>
              <w:rPr>
                <w:rFonts w:ascii="Calibri" w:hAnsi="Calibri" w:cs="Calibri"/>
                <w:sz w:val="20"/>
                <w:lang w:eastAsia="en-AU"/>
              </w:rPr>
            </w:pPr>
            <w:r w:rsidRPr="00DF427C">
              <w:rPr>
                <w:rFonts w:ascii="Calibri" w:hAnsi="Calibri" w:cs="Calibri"/>
                <w:sz w:val="20"/>
                <w:lang w:eastAsia="en-AU"/>
              </w:rPr>
              <w:t>Parliamentary Contributory Superannuation Fund</w:t>
            </w:r>
          </w:p>
        </w:tc>
        <w:tc>
          <w:tcPr>
            <w:tcW w:w="1134" w:type="dxa"/>
          </w:tcPr>
          <w:p w:rsidR="00F60B5F" w:rsidRPr="00DF427C" w:rsidRDefault="00F60B5F" w:rsidP="005C19CE">
            <w:pPr>
              <w:keepNext/>
              <w:keepLines/>
              <w:autoSpaceDE w:val="0"/>
              <w:autoSpaceDN w:val="0"/>
              <w:adjustRightInd w:val="0"/>
              <w:spacing w:after="0"/>
              <w:ind w:left="347"/>
              <w:jc w:val="right"/>
              <w:rPr>
                <w:rFonts w:ascii="Calibri" w:hAnsi="Calibri" w:cs="Calibri"/>
                <w:sz w:val="20"/>
                <w:lang w:eastAsia="en-AU"/>
              </w:rPr>
            </w:pPr>
            <w:r w:rsidRPr="00DF427C">
              <w:rPr>
                <w:rFonts w:ascii="Calibri" w:hAnsi="Calibri" w:cs="Calibri"/>
                <w:sz w:val="20"/>
                <w:lang w:eastAsia="en-AU"/>
              </w:rPr>
              <w:t>8.0</w:t>
            </w:r>
          </w:p>
        </w:tc>
      </w:tr>
      <w:tr w:rsidR="00F60B5F" w:rsidRPr="00DF427C" w:rsidTr="00406DA8">
        <w:tc>
          <w:tcPr>
            <w:tcW w:w="6535" w:type="dxa"/>
          </w:tcPr>
          <w:p w:rsidR="00F60B5F" w:rsidRPr="00DF427C" w:rsidRDefault="00F60B5F" w:rsidP="005C19CE">
            <w:pPr>
              <w:autoSpaceDE w:val="0"/>
              <w:autoSpaceDN w:val="0"/>
              <w:adjustRightInd w:val="0"/>
              <w:spacing w:after="0"/>
              <w:ind w:left="180" w:hanging="180"/>
              <w:rPr>
                <w:rFonts w:ascii="Calibri" w:hAnsi="Calibri" w:cs="Calibri"/>
                <w:sz w:val="20"/>
                <w:lang w:eastAsia="en-AU"/>
              </w:rPr>
            </w:pPr>
            <w:r w:rsidRPr="00DF427C">
              <w:rPr>
                <w:rFonts w:ascii="Calibri" w:hAnsi="Calibri" w:cs="Calibri"/>
                <w:sz w:val="20"/>
                <w:lang w:eastAsia="en-AU"/>
              </w:rPr>
              <w:t>Health Super Fund Defined Benefit Scheme</w:t>
            </w:r>
          </w:p>
        </w:tc>
        <w:tc>
          <w:tcPr>
            <w:tcW w:w="1134" w:type="dxa"/>
          </w:tcPr>
          <w:p w:rsidR="00F60B5F" w:rsidRPr="00DF427C" w:rsidRDefault="00F60B5F" w:rsidP="005C19CE">
            <w:pPr>
              <w:keepNext/>
              <w:keepLines/>
              <w:autoSpaceDE w:val="0"/>
              <w:autoSpaceDN w:val="0"/>
              <w:adjustRightInd w:val="0"/>
              <w:spacing w:after="0"/>
              <w:ind w:left="347"/>
              <w:jc w:val="right"/>
              <w:rPr>
                <w:rFonts w:ascii="Calibri" w:hAnsi="Calibri" w:cs="Calibri"/>
                <w:sz w:val="20"/>
                <w:lang w:eastAsia="en-AU"/>
              </w:rPr>
            </w:pPr>
            <w:r w:rsidRPr="00DF427C">
              <w:rPr>
                <w:rFonts w:ascii="Calibri" w:hAnsi="Calibri" w:cs="Calibri"/>
                <w:sz w:val="20"/>
                <w:lang w:eastAsia="en-AU"/>
              </w:rPr>
              <w:t>7.2</w:t>
            </w:r>
          </w:p>
        </w:tc>
      </w:tr>
      <w:tr w:rsidR="00F60B5F" w:rsidRPr="00DF427C" w:rsidTr="00406DA8">
        <w:tc>
          <w:tcPr>
            <w:tcW w:w="6535" w:type="dxa"/>
            <w:tcBorders>
              <w:bottom w:val="single" w:sz="12" w:space="0" w:color="000000"/>
            </w:tcBorders>
          </w:tcPr>
          <w:p w:rsidR="00F60B5F" w:rsidRPr="00DF427C" w:rsidRDefault="00F60B5F" w:rsidP="005C19CE">
            <w:pPr>
              <w:autoSpaceDE w:val="0"/>
              <w:autoSpaceDN w:val="0"/>
              <w:adjustRightInd w:val="0"/>
              <w:spacing w:after="0"/>
              <w:ind w:left="180" w:hanging="180"/>
              <w:rPr>
                <w:rFonts w:ascii="Calibri" w:hAnsi="Calibri" w:cs="Calibri"/>
                <w:sz w:val="20"/>
                <w:vertAlign w:val="superscript"/>
                <w:lang w:eastAsia="en-AU"/>
              </w:rPr>
            </w:pPr>
            <w:r w:rsidRPr="00DF427C">
              <w:rPr>
                <w:rFonts w:ascii="Calibri" w:hAnsi="Calibri" w:cs="Calibri"/>
                <w:sz w:val="20"/>
                <w:lang w:eastAsia="en-AU"/>
              </w:rPr>
              <w:t xml:space="preserve">Constitutionally protected schemes </w:t>
            </w:r>
            <w:r w:rsidRPr="00DF427C">
              <w:rPr>
                <w:rFonts w:ascii="Calibri" w:hAnsi="Calibri" w:cs="Calibri"/>
                <w:sz w:val="20"/>
                <w:vertAlign w:val="superscript"/>
                <w:lang w:eastAsia="en-AU"/>
              </w:rPr>
              <w:t>(f)</w:t>
            </w:r>
          </w:p>
        </w:tc>
        <w:tc>
          <w:tcPr>
            <w:tcW w:w="1134" w:type="dxa"/>
            <w:tcBorders>
              <w:bottom w:val="single" w:sz="12" w:space="0" w:color="000000"/>
            </w:tcBorders>
          </w:tcPr>
          <w:p w:rsidR="00F60B5F" w:rsidRPr="00DF427C" w:rsidRDefault="00F60B5F" w:rsidP="005C19CE">
            <w:pPr>
              <w:keepNext/>
              <w:keepLines/>
              <w:autoSpaceDE w:val="0"/>
              <w:autoSpaceDN w:val="0"/>
              <w:adjustRightInd w:val="0"/>
              <w:spacing w:after="0"/>
              <w:ind w:left="347"/>
              <w:jc w:val="right"/>
              <w:rPr>
                <w:rFonts w:ascii="Calibri" w:hAnsi="Calibri" w:cs="Calibri"/>
                <w:sz w:val="20"/>
                <w:lang w:eastAsia="en-AU"/>
              </w:rPr>
            </w:pPr>
            <w:r w:rsidRPr="00DF427C">
              <w:rPr>
                <w:rFonts w:ascii="Calibri" w:hAnsi="Calibri" w:cs="Calibri"/>
                <w:sz w:val="20"/>
                <w:lang w:eastAsia="en-AU"/>
              </w:rPr>
              <w:t>n.a.</w:t>
            </w:r>
          </w:p>
        </w:tc>
      </w:tr>
    </w:tbl>
    <w:p w:rsidR="00F60B5F" w:rsidRPr="00DF427C" w:rsidRDefault="00F60B5F" w:rsidP="005C19CE">
      <w:pPr>
        <w:autoSpaceDE w:val="0"/>
        <w:autoSpaceDN w:val="0"/>
        <w:adjustRightInd w:val="0"/>
        <w:rPr>
          <w:rFonts w:ascii="Calibri" w:hAnsi="Calibri"/>
          <w:i/>
          <w:sz w:val="15"/>
          <w:lang w:eastAsia="en-AU"/>
        </w:rPr>
      </w:pPr>
      <w:r w:rsidRPr="00DF427C">
        <w:rPr>
          <w:rFonts w:ascii="Calibri" w:hAnsi="Calibri"/>
          <w:i/>
          <w:sz w:val="15"/>
          <w:lang w:eastAsia="en-AU"/>
        </w:rPr>
        <w:t>Source: Department of Treasury and Finance</w:t>
      </w:r>
    </w:p>
    <w:p w:rsidR="00F60B5F" w:rsidRPr="00DF427C" w:rsidRDefault="00F60B5F" w:rsidP="005C19CE">
      <w:pPr>
        <w:tabs>
          <w:tab w:val="left" w:pos="454"/>
        </w:tabs>
        <w:autoSpaceDE w:val="0"/>
        <w:autoSpaceDN w:val="0"/>
        <w:adjustRightInd w:val="0"/>
        <w:spacing w:after="0"/>
        <w:ind w:left="461" w:hanging="461"/>
        <w:rPr>
          <w:rFonts w:ascii="Calibri" w:hAnsi="Calibri"/>
          <w:i/>
          <w:sz w:val="15"/>
        </w:rPr>
      </w:pPr>
      <w:r w:rsidRPr="00DF427C">
        <w:rPr>
          <w:rFonts w:ascii="Calibri" w:hAnsi="Calibri"/>
          <w:i/>
          <w:sz w:val="15"/>
        </w:rPr>
        <w:t>Notes:</w:t>
      </w:r>
    </w:p>
    <w:p w:rsidR="00F60B5F" w:rsidRPr="00DF427C" w:rsidRDefault="00F60B5F" w:rsidP="005C19CE">
      <w:pPr>
        <w:pStyle w:val="Notes"/>
      </w:pPr>
      <w:r w:rsidRPr="00DF427C">
        <w:t>(a)</w:t>
      </w:r>
      <w:r w:rsidRPr="00DF427C">
        <w:tab/>
        <w:t>All rates are nominal annual rates and are applicable to all the listed schemes.</w:t>
      </w:r>
    </w:p>
    <w:p w:rsidR="00F60B5F" w:rsidRPr="00DF427C" w:rsidRDefault="00F60B5F" w:rsidP="005C19CE">
      <w:pPr>
        <w:pStyle w:val="Notes"/>
      </w:pPr>
      <w:r w:rsidRPr="00DF427C">
        <w:t>(b)</w:t>
      </w:r>
      <w:r w:rsidRPr="00DF427C">
        <w:tab/>
        <w:t>T</w:t>
      </w:r>
      <w:r>
        <w:t>he discount rate is based on a long</w:t>
      </w:r>
      <w:r>
        <w:noBreakHyphen/>
        <w:t>term</w:t>
      </w:r>
      <w:r w:rsidRPr="00DF427C">
        <w:t xml:space="preserve"> fixed interest Commonwealth Government bond rate. The rate stated above is an annual effective rate, gross of tax.</w:t>
      </w:r>
    </w:p>
    <w:p w:rsidR="00F60B5F" w:rsidRPr="00DF427C" w:rsidRDefault="00F60B5F" w:rsidP="005C19CE">
      <w:pPr>
        <w:pStyle w:val="Notes"/>
      </w:pPr>
      <w:r w:rsidRPr="00DF427C">
        <w:t>(c)</w:t>
      </w:r>
      <w:r w:rsidRPr="00DF427C">
        <w:tab/>
        <w:t>Wages growth is based on actuarial expectations.</w:t>
      </w:r>
    </w:p>
    <w:p w:rsidR="00F60B5F" w:rsidRPr="00DF427C" w:rsidRDefault="00F60B5F" w:rsidP="005C19CE">
      <w:pPr>
        <w:pStyle w:val="Notes"/>
      </w:pPr>
      <w:r w:rsidRPr="00DF427C">
        <w:t>(d)</w:t>
      </w:r>
      <w:r w:rsidRPr="00DF427C">
        <w:tab/>
        <w:t>The inflation rate assumed by the actuary reflects market expectations of price inflation, implied from the relationship between the yields on nominal and inflation linked Commonwealth Government bonds. This ensures consistency with the prescribed (i.e. market</w:t>
      </w:r>
      <w:r>
        <w:noBreakHyphen/>
      </w:r>
      <w:r w:rsidRPr="00DF427C">
        <w:t>based) discount rate.</w:t>
      </w:r>
    </w:p>
    <w:p w:rsidR="00F60B5F" w:rsidRPr="00DF427C" w:rsidRDefault="00F60B5F" w:rsidP="005C19CE">
      <w:pPr>
        <w:pStyle w:val="Notes"/>
      </w:pPr>
      <w:r w:rsidRPr="00DF427C">
        <w:t>(e)</w:t>
      </w:r>
      <w:r w:rsidRPr="00DF427C">
        <w:tab/>
        <w:t>The expected return on assets stated is gross of tax. Estimated tax payments are explicitly allowed for in the calculation process.</w:t>
      </w:r>
    </w:p>
    <w:p w:rsidR="00F60B5F" w:rsidRPr="00DF427C" w:rsidRDefault="00F60B5F" w:rsidP="005C19CE">
      <w:pPr>
        <w:pStyle w:val="Notes"/>
      </w:pPr>
      <w:r w:rsidRPr="00DF427C">
        <w:t>(f)</w:t>
      </w:r>
      <w:r w:rsidRPr="00DF427C">
        <w:tab/>
        <w:t>Pensions payable from constitutionally protected schemes are paid from the Consolidated Fund. These schemes hold no assets so there is no expected return on assets.</w:t>
      </w:r>
    </w:p>
    <w:p w:rsidR="00F60B5F" w:rsidRPr="00DF427C" w:rsidRDefault="00F60B5F" w:rsidP="005C19CE">
      <w:pPr>
        <w:pStyle w:val="Notes"/>
      </w:pPr>
    </w:p>
    <w:p w:rsidR="00F60B5F" w:rsidRPr="00DF427C" w:rsidRDefault="00F60B5F" w:rsidP="005C19CE">
      <w:pPr>
        <w:pStyle w:val="Notes"/>
      </w:pPr>
    </w:p>
    <w:p w:rsidR="00F60B5F" w:rsidRPr="00DF427C" w:rsidRDefault="00F60B5F" w:rsidP="005C19CE">
      <w:r w:rsidRPr="00DF427C">
        <w:t>The expected return on assets, as shown above, is determined by weighting the expected long</w:t>
      </w:r>
      <w:r>
        <w:noBreakHyphen/>
      </w:r>
      <w:r w:rsidRPr="00DF427C">
        <w:t>term return for each asset class by the target allocation of assets to that class (as detailed in the table below).</w:t>
      </w:r>
    </w:p>
    <w:p w:rsidR="00F60B5F" w:rsidRPr="00DF427C" w:rsidRDefault="00F60B5F" w:rsidP="005C19CE">
      <w:pPr>
        <w:pStyle w:val="Heading5"/>
      </w:pPr>
      <w:r w:rsidRPr="00DF427C">
        <w:t>Asset allocation</w:t>
      </w:r>
    </w:p>
    <w:tbl>
      <w:tblPr>
        <w:tblW w:w="7669" w:type="dxa"/>
        <w:tblInd w:w="29" w:type="dxa"/>
        <w:tblLayout w:type="fixed"/>
        <w:tblCellMar>
          <w:left w:w="43" w:type="dxa"/>
          <w:right w:w="43" w:type="dxa"/>
        </w:tblCellMar>
        <w:tblLook w:val="00A0" w:firstRow="1" w:lastRow="0" w:firstColumn="1" w:lastColumn="0" w:noHBand="0" w:noVBand="0"/>
      </w:tblPr>
      <w:tblGrid>
        <w:gridCol w:w="5954"/>
        <w:gridCol w:w="1715"/>
      </w:tblGrid>
      <w:tr w:rsidR="00F60B5F" w:rsidRPr="00DF427C" w:rsidTr="00356413">
        <w:trPr>
          <w:cantSplit/>
        </w:trPr>
        <w:tc>
          <w:tcPr>
            <w:tcW w:w="5954" w:type="dxa"/>
            <w:tcBorders>
              <w:top w:val="single" w:sz="4" w:space="0" w:color="auto"/>
              <w:left w:val="single" w:sz="4" w:space="0" w:color="auto"/>
              <w:bottom w:val="single" w:sz="4" w:space="0" w:color="auto"/>
            </w:tcBorders>
            <w:shd w:val="clear" w:color="auto" w:fill="000000"/>
          </w:tcPr>
          <w:p w:rsidR="00F60B5F" w:rsidRPr="00DF427C" w:rsidRDefault="00F60B5F" w:rsidP="00356413">
            <w:pPr>
              <w:pStyle w:val="Tabletextheadingleft"/>
              <w:rPr>
                <w:lang w:eastAsia="en-AU"/>
              </w:rPr>
            </w:pPr>
            <w:r w:rsidRPr="00DF427C">
              <w:rPr>
                <w:lang w:eastAsia="en-AU"/>
              </w:rPr>
              <w:t>Asset class</w:t>
            </w:r>
          </w:p>
        </w:tc>
        <w:tc>
          <w:tcPr>
            <w:tcW w:w="1715" w:type="dxa"/>
            <w:tcBorders>
              <w:top w:val="single" w:sz="4" w:space="0" w:color="auto"/>
              <w:bottom w:val="single" w:sz="4" w:space="0" w:color="auto"/>
              <w:right w:val="single" w:sz="4" w:space="0" w:color="auto"/>
            </w:tcBorders>
            <w:shd w:val="clear" w:color="auto" w:fill="000000"/>
          </w:tcPr>
          <w:p w:rsidR="00F60B5F" w:rsidRPr="00DF427C" w:rsidRDefault="00F60B5F" w:rsidP="00356413">
            <w:pPr>
              <w:pStyle w:val="Tabletextheading"/>
              <w:rPr>
                <w:lang w:eastAsia="en-AU"/>
              </w:rPr>
            </w:pPr>
            <w:r w:rsidRPr="00DF427C">
              <w:rPr>
                <w:lang w:eastAsia="en-AU"/>
              </w:rPr>
              <w:t>Per cent</w:t>
            </w:r>
          </w:p>
        </w:tc>
      </w:tr>
      <w:tr w:rsidR="00F60B5F" w:rsidRPr="00DF427C" w:rsidTr="00356413">
        <w:trPr>
          <w:cantSplit/>
        </w:trPr>
        <w:tc>
          <w:tcPr>
            <w:tcW w:w="5954" w:type="dxa"/>
            <w:tcBorders>
              <w:top w:val="single" w:sz="4" w:space="0" w:color="auto"/>
            </w:tcBorders>
          </w:tcPr>
          <w:p w:rsidR="00F60B5F" w:rsidRPr="00DF427C" w:rsidRDefault="00F60B5F" w:rsidP="00356413">
            <w:pPr>
              <w:pStyle w:val="Tabletext"/>
              <w:rPr>
                <w:lang w:eastAsia="en-AU"/>
              </w:rPr>
            </w:pPr>
            <w:r w:rsidRPr="00DF427C">
              <w:rPr>
                <w:lang w:eastAsia="en-AU"/>
              </w:rPr>
              <w:t>Domestic equity</w:t>
            </w:r>
          </w:p>
        </w:tc>
        <w:tc>
          <w:tcPr>
            <w:tcW w:w="1715" w:type="dxa"/>
            <w:tcBorders>
              <w:top w:val="single" w:sz="4" w:space="0" w:color="auto"/>
            </w:tcBorders>
          </w:tcPr>
          <w:p w:rsidR="00F60B5F" w:rsidRPr="00DF427C" w:rsidRDefault="00F60B5F" w:rsidP="00356413">
            <w:pPr>
              <w:pStyle w:val="TableofFigures"/>
              <w:rPr>
                <w:szCs w:val="22"/>
                <w:lang w:eastAsia="en-AU"/>
              </w:rPr>
            </w:pPr>
            <w:r>
              <w:rPr>
                <w:szCs w:val="22"/>
                <w:lang w:eastAsia="en-AU"/>
              </w:rPr>
              <w:t>26.7</w:t>
            </w:r>
          </w:p>
        </w:tc>
      </w:tr>
      <w:tr w:rsidR="00F60B5F" w:rsidRPr="00DF427C" w:rsidTr="00356413">
        <w:trPr>
          <w:cantSplit/>
        </w:trPr>
        <w:tc>
          <w:tcPr>
            <w:tcW w:w="5954" w:type="dxa"/>
          </w:tcPr>
          <w:p w:rsidR="00F60B5F" w:rsidRPr="00DF427C" w:rsidRDefault="00F60B5F" w:rsidP="00356413">
            <w:pPr>
              <w:pStyle w:val="Tabletext"/>
              <w:rPr>
                <w:lang w:eastAsia="en-AU"/>
              </w:rPr>
            </w:pPr>
            <w:r w:rsidRPr="00DF427C">
              <w:rPr>
                <w:lang w:eastAsia="en-AU"/>
              </w:rPr>
              <w:t>International equity</w:t>
            </w:r>
          </w:p>
        </w:tc>
        <w:tc>
          <w:tcPr>
            <w:tcW w:w="1715" w:type="dxa"/>
          </w:tcPr>
          <w:p w:rsidR="00F60B5F" w:rsidRPr="00DF427C" w:rsidRDefault="00F60B5F" w:rsidP="00356413">
            <w:pPr>
              <w:pStyle w:val="TableofFigures"/>
              <w:rPr>
                <w:szCs w:val="22"/>
                <w:lang w:eastAsia="en-AU"/>
              </w:rPr>
            </w:pPr>
            <w:r>
              <w:rPr>
                <w:szCs w:val="22"/>
                <w:lang w:eastAsia="en-AU"/>
              </w:rPr>
              <w:t>26.1</w:t>
            </w:r>
          </w:p>
        </w:tc>
      </w:tr>
      <w:tr w:rsidR="00F60B5F" w:rsidRPr="00DF427C" w:rsidTr="00356413">
        <w:trPr>
          <w:cantSplit/>
        </w:trPr>
        <w:tc>
          <w:tcPr>
            <w:tcW w:w="5954" w:type="dxa"/>
          </w:tcPr>
          <w:p w:rsidR="00F60B5F" w:rsidRPr="00DF427C" w:rsidRDefault="00F60B5F" w:rsidP="00356413">
            <w:pPr>
              <w:pStyle w:val="Tabletext"/>
              <w:rPr>
                <w:lang w:eastAsia="en-AU"/>
              </w:rPr>
            </w:pPr>
            <w:r w:rsidRPr="00DF427C">
              <w:rPr>
                <w:lang w:eastAsia="en-AU"/>
              </w:rPr>
              <w:t>Domestic and international debt assets</w:t>
            </w:r>
          </w:p>
        </w:tc>
        <w:tc>
          <w:tcPr>
            <w:tcW w:w="1715" w:type="dxa"/>
          </w:tcPr>
          <w:p w:rsidR="00F60B5F" w:rsidRPr="00DF427C" w:rsidRDefault="00F60B5F" w:rsidP="00356413">
            <w:pPr>
              <w:pStyle w:val="TableofFigures"/>
              <w:rPr>
                <w:szCs w:val="22"/>
                <w:lang w:eastAsia="en-AU"/>
              </w:rPr>
            </w:pPr>
            <w:r w:rsidRPr="00DF427C">
              <w:rPr>
                <w:szCs w:val="22"/>
                <w:lang w:eastAsia="en-AU"/>
              </w:rPr>
              <w:t>18.9</w:t>
            </w:r>
          </w:p>
        </w:tc>
      </w:tr>
      <w:tr w:rsidR="00F60B5F" w:rsidRPr="00DF427C" w:rsidTr="00356413">
        <w:trPr>
          <w:cantSplit/>
        </w:trPr>
        <w:tc>
          <w:tcPr>
            <w:tcW w:w="5954" w:type="dxa"/>
          </w:tcPr>
          <w:p w:rsidR="00F60B5F" w:rsidRPr="00DF427C" w:rsidRDefault="00F60B5F" w:rsidP="00356413">
            <w:pPr>
              <w:pStyle w:val="Tabletext"/>
              <w:rPr>
                <w:lang w:eastAsia="en-AU"/>
              </w:rPr>
            </w:pPr>
            <w:r w:rsidRPr="00DF427C">
              <w:rPr>
                <w:lang w:eastAsia="en-AU"/>
              </w:rPr>
              <w:t>Property</w:t>
            </w:r>
          </w:p>
        </w:tc>
        <w:tc>
          <w:tcPr>
            <w:tcW w:w="1715" w:type="dxa"/>
          </w:tcPr>
          <w:p w:rsidR="00F60B5F" w:rsidRPr="00DF427C" w:rsidRDefault="00F60B5F" w:rsidP="00356413">
            <w:pPr>
              <w:pStyle w:val="TableofFigures"/>
              <w:rPr>
                <w:szCs w:val="22"/>
                <w:lang w:eastAsia="en-AU"/>
              </w:rPr>
            </w:pPr>
            <w:r>
              <w:rPr>
                <w:szCs w:val="22"/>
                <w:lang w:eastAsia="en-AU"/>
              </w:rPr>
              <w:t>8.2</w:t>
            </w:r>
          </w:p>
        </w:tc>
      </w:tr>
      <w:tr w:rsidR="00F60B5F" w:rsidRPr="00DF427C" w:rsidTr="00356413">
        <w:trPr>
          <w:cantSplit/>
        </w:trPr>
        <w:tc>
          <w:tcPr>
            <w:tcW w:w="5954" w:type="dxa"/>
          </w:tcPr>
          <w:p w:rsidR="00F60B5F" w:rsidRPr="00DF427C" w:rsidRDefault="00F60B5F" w:rsidP="00356413">
            <w:pPr>
              <w:pStyle w:val="Tabletext"/>
              <w:rPr>
                <w:lang w:eastAsia="en-AU"/>
              </w:rPr>
            </w:pPr>
            <w:r w:rsidRPr="00DF427C">
              <w:rPr>
                <w:lang w:eastAsia="en-AU"/>
              </w:rPr>
              <w:t>Cash</w:t>
            </w:r>
          </w:p>
        </w:tc>
        <w:tc>
          <w:tcPr>
            <w:tcW w:w="1715" w:type="dxa"/>
          </w:tcPr>
          <w:p w:rsidR="00F60B5F" w:rsidRPr="00DF427C" w:rsidRDefault="00F60B5F" w:rsidP="00356413">
            <w:pPr>
              <w:pStyle w:val="TableofFigures"/>
              <w:rPr>
                <w:szCs w:val="22"/>
                <w:lang w:eastAsia="en-AU"/>
              </w:rPr>
            </w:pPr>
            <w:r>
              <w:rPr>
                <w:szCs w:val="22"/>
                <w:lang w:eastAsia="en-AU"/>
              </w:rPr>
              <w:t>6</w:t>
            </w:r>
            <w:r w:rsidRPr="00DF427C">
              <w:rPr>
                <w:szCs w:val="22"/>
                <w:lang w:eastAsia="en-AU"/>
              </w:rPr>
              <w:t>.0</w:t>
            </w:r>
          </w:p>
        </w:tc>
      </w:tr>
      <w:tr w:rsidR="00F60B5F" w:rsidRPr="00DF427C" w:rsidTr="00356413">
        <w:trPr>
          <w:cantSplit/>
        </w:trPr>
        <w:tc>
          <w:tcPr>
            <w:tcW w:w="5954" w:type="dxa"/>
            <w:tcBorders>
              <w:bottom w:val="single" w:sz="4" w:space="0" w:color="auto"/>
            </w:tcBorders>
          </w:tcPr>
          <w:p w:rsidR="00F60B5F" w:rsidRPr="00DF427C" w:rsidRDefault="00F60B5F" w:rsidP="00356413">
            <w:pPr>
              <w:pStyle w:val="Tabletext"/>
              <w:rPr>
                <w:lang w:eastAsia="en-AU"/>
              </w:rPr>
            </w:pPr>
            <w:r w:rsidRPr="00DF427C">
              <w:rPr>
                <w:lang w:eastAsia="en-AU"/>
              </w:rPr>
              <w:t>Other (including private equity, hedge funds and infrastructure)</w:t>
            </w:r>
          </w:p>
        </w:tc>
        <w:tc>
          <w:tcPr>
            <w:tcW w:w="1715" w:type="dxa"/>
            <w:tcBorders>
              <w:bottom w:val="single" w:sz="4" w:space="0" w:color="auto"/>
            </w:tcBorders>
          </w:tcPr>
          <w:p w:rsidR="00F60B5F" w:rsidRPr="00DF427C" w:rsidRDefault="00F60B5F" w:rsidP="00356413">
            <w:pPr>
              <w:pStyle w:val="TableofFigures"/>
              <w:rPr>
                <w:szCs w:val="22"/>
                <w:lang w:eastAsia="en-AU"/>
              </w:rPr>
            </w:pPr>
            <w:r>
              <w:rPr>
                <w:szCs w:val="22"/>
                <w:lang w:eastAsia="en-AU"/>
              </w:rPr>
              <w:t>14.1</w:t>
            </w:r>
          </w:p>
        </w:tc>
      </w:tr>
      <w:tr w:rsidR="00F60B5F" w:rsidRPr="00DF427C" w:rsidTr="00356413">
        <w:trPr>
          <w:cantSplit/>
        </w:trPr>
        <w:tc>
          <w:tcPr>
            <w:tcW w:w="5954" w:type="dxa"/>
            <w:tcBorders>
              <w:top w:val="single" w:sz="4" w:space="0" w:color="auto"/>
              <w:bottom w:val="single" w:sz="12" w:space="0" w:color="000000"/>
            </w:tcBorders>
          </w:tcPr>
          <w:p w:rsidR="00F60B5F" w:rsidRPr="00DF427C" w:rsidRDefault="00F60B5F" w:rsidP="00356413">
            <w:pPr>
              <w:pStyle w:val="Tabletext"/>
              <w:rPr>
                <w:b/>
                <w:bCs/>
                <w:lang w:eastAsia="en-AU"/>
              </w:rPr>
            </w:pPr>
            <w:r w:rsidRPr="00DF427C">
              <w:rPr>
                <w:b/>
                <w:bCs/>
                <w:lang w:eastAsia="en-AU"/>
              </w:rPr>
              <w:t>Total</w:t>
            </w:r>
          </w:p>
        </w:tc>
        <w:tc>
          <w:tcPr>
            <w:tcW w:w="1715" w:type="dxa"/>
            <w:tcBorders>
              <w:top w:val="single" w:sz="4" w:space="0" w:color="auto"/>
              <w:bottom w:val="single" w:sz="12" w:space="0" w:color="000000"/>
            </w:tcBorders>
          </w:tcPr>
          <w:p w:rsidR="00F60B5F" w:rsidRPr="00DF427C" w:rsidRDefault="00F60B5F" w:rsidP="00356413">
            <w:pPr>
              <w:pStyle w:val="TableofFigures"/>
              <w:rPr>
                <w:b/>
                <w:bCs/>
                <w:lang w:eastAsia="en-AU"/>
              </w:rPr>
            </w:pPr>
            <w:r w:rsidRPr="00DF427C">
              <w:rPr>
                <w:b/>
                <w:bCs/>
                <w:lang w:eastAsia="en-AU"/>
              </w:rPr>
              <w:t>100</w:t>
            </w:r>
            <w:r>
              <w:rPr>
                <w:b/>
                <w:bCs/>
                <w:lang w:eastAsia="en-AU"/>
              </w:rPr>
              <w:t>.0</w:t>
            </w:r>
          </w:p>
        </w:tc>
      </w:tr>
    </w:tbl>
    <w:p w:rsidR="00F60B5F" w:rsidRPr="00DF427C" w:rsidRDefault="00F60B5F" w:rsidP="005C19CE">
      <w:pPr>
        <w:pStyle w:val="Source"/>
        <w:rPr>
          <w:lang w:eastAsia="en-AU"/>
        </w:rPr>
      </w:pPr>
      <w:r w:rsidRPr="00DF427C">
        <w:rPr>
          <w:lang w:eastAsia="en-AU"/>
        </w:rPr>
        <w:t>Source: Department of Treasury and Finance</w:t>
      </w:r>
    </w:p>
    <w:p w:rsidR="00F60B5F" w:rsidRDefault="00F60B5F">
      <w:pPr>
        <w:spacing w:after="0"/>
        <w:rPr>
          <w:rFonts w:cs="Garamond"/>
          <w:color w:val="000000"/>
        </w:rPr>
      </w:pPr>
      <w:r>
        <w:rPr>
          <w:rFonts w:cs="Garamond"/>
          <w:color w:val="000000"/>
        </w:rPr>
        <w:br w:type="page"/>
      </w:r>
    </w:p>
    <w:p w:rsidR="00F60B5F" w:rsidRPr="00AE6010" w:rsidRDefault="00F60B5F" w:rsidP="00AE6010">
      <w:pPr>
        <w:pStyle w:val="Heading2NotesContd"/>
        <w:rPr>
          <w:i/>
        </w:rPr>
      </w:pPr>
      <w:r>
        <w:t>Note 1:</w:t>
      </w:r>
      <w:r>
        <w:tab/>
        <w:t xml:space="preserve">Statement of significant accounting policies and forecast assumptions </w:t>
      </w:r>
      <w:r>
        <w:rPr>
          <w:i/>
        </w:rPr>
        <w:t>(continued)</w:t>
      </w:r>
    </w:p>
    <w:p w:rsidR="00F60B5F" w:rsidRDefault="00F60B5F" w:rsidP="005C19CE">
      <w:pPr>
        <w:autoSpaceDE w:val="0"/>
        <w:autoSpaceDN w:val="0"/>
        <w:adjustRightInd w:val="0"/>
        <w:rPr>
          <w:rFonts w:cs="Garamond"/>
          <w:color w:val="000000"/>
        </w:rPr>
      </w:pPr>
      <w:r>
        <w:rPr>
          <w:rFonts w:cs="Garamond"/>
          <w:color w:val="000000"/>
        </w:rPr>
        <w:t xml:space="preserve">A revised version of AASB 119 </w:t>
      </w:r>
      <w:r>
        <w:rPr>
          <w:rFonts w:cs="Garamond"/>
          <w:i/>
          <w:iCs/>
          <w:color w:val="000000"/>
        </w:rPr>
        <w:t>Employee Benefits</w:t>
      </w:r>
      <w:r>
        <w:rPr>
          <w:rFonts w:cs="Garamond"/>
          <w:color w:val="000000"/>
        </w:rPr>
        <w:t xml:space="preserve"> was issued in September 2011 and applies from 1 January 2013. The revised AASB 119 changes the way defined benefit superannuation expenses are presented in the comprehensive operating statement. More specifically, the revised AASB 119 requires the net superannuation interest expense to be calculated using the discount rate (a long</w:t>
      </w:r>
      <w:r>
        <w:rPr>
          <w:rFonts w:cs="Garamond"/>
          <w:color w:val="000000"/>
        </w:rPr>
        <w:noBreakHyphen/>
        <w:t xml:space="preserve">term government bond rate) without reference to the expected rate of investment return on assets, as was previously the case. </w:t>
      </w:r>
    </w:p>
    <w:p w:rsidR="00F60B5F" w:rsidRDefault="00F60B5F" w:rsidP="005C19CE">
      <w:pPr>
        <w:autoSpaceDE w:val="0"/>
        <w:autoSpaceDN w:val="0"/>
        <w:adjustRightInd w:val="0"/>
        <w:rPr>
          <w:rFonts w:cs="Garamond"/>
          <w:color w:val="000000"/>
        </w:rPr>
      </w:pPr>
      <w:r>
        <w:rPr>
          <w:rFonts w:cs="Garamond"/>
          <w:color w:val="000000"/>
        </w:rPr>
        <w:t>This significantly increased the reported net superannuation interest expense and negatively affected the general government sector’s net result from transactions.</w:t>
      </w:r>
    </w:p>
    <w:p w:rsidR="00F60B5F" w:rsidRDefault="00F60B5F" w:rsidP="005C19CE">
      <w:pPr>
        <w:autoSpaceDE w:val="0"/>
        <w:autoSpaceDN w:val="0"/>
        <w:adjustRightInd w:val="0"/>
        <w:rPr>
          <w:rFonts w:cs="Garamond"/>
          <w:color w:val="000000"/>
        </w:rPr>
      </w:pPr>
      <w:r>
        <w:rPr>
          <w:rFonts w:cs="Garamond"/>
          <w:color w:val="000000"/>
        </w:rPr>
        <w:t xml:space="preserve">However, the overall reported defined benefit superannuation expense is unchanged under the revised standard as any increase in the net superannuation interest expense is offset by a corresponding actuarial gain that is included in the comprehensive result. The reported superannuation liability, and associated funding requirements, are also unchanged under the revised standard. </w:t>
      </w:r>
    </w:p>
    <w:p w:rsidR="00F60B5F" w:rsidRPr="00DF427C" w:rsidRDefault="00F60B5F" w:rsidP="005C19CE">
      <w:pPr>
        <w:autoSpaceDE w:val="0"/>
        <w:autoSpaceDN w:val="0"/>
        <w:adjustRightInd w:val="0"/>
      </w:pPr>
      <w:r>
        <w:rPr>
          <w:rFonts w:cs="Garamond"/>
          <w:color w:val="000000"/>
        </w:rPr>
        <w:t>The impact of the revised standard has been included in the estimated financial statements.</w:t>
      </w:r>
    </w:p>
    <w:p w:rsidR="00F60B5F" w:rsidRPr="00DF427C" w:rsidRDefault="00F60B5F" w:rsidP="005C19CE">
      <w:pPr>
        <w:pStyle w:val="Heading3Numbering"/>
        <w:spacing w:before="360"/>
      </w:pPr>
      <w:r w:rsidRPr="00DF427C">
        <w:t>Sensitivity analysis</w:t>
      </w:r>
    </w:p>
    <w:p w:rsidR="00F60B5F" w:rsidRPr="00DF427C" w:rsidRDefault="00F60B5F" w:rsidP="005C19CE">
      <w:r w:rsidRPr="00DF427C">
        <w:t>The estimates for revenue, expenses, the net result from transactions, and the net result have been subject to analysis of assumed movements for a range of major economic and other risks by the Department of Treasury and Finance (DTF).</w:t>
      </w:r>
    </w:p>
    <w:p w:rsidR="00F60B5F" w:rsidRPr="00DF427C" w:rsidRDefault="00F60B5F" w:rsidP="005C19CE">
      <w:pPr>
        <w:rPr>
          <w:shd w:val="clear" w:color="auto" w:fill="CCFFCC"/>
        </w:rPr>
      </w:pPr>
      <w:r w:rsidRPr="00DF427C">
        <w:t xml:space="preserve">Refer to </w:t>
      </w:r>
      <w:r w:rsidRPr="00F84B22">
        <w:t>Appendix D</w:t>
      </w:r>
      <w:r w:rsidRPr="00DF427C">
        <w:t xml:space="preserve"> </w:t>
      </w:r>
      <w:r w:rsidRPr="00DF427C">
        <w:rPr>
          <w:i/>
          <w:iCs/>
        </w:rPr>
        <w:t>Sensitivity analysis</w:t>
      </w:r>
      <w:r w:rsidRPr="00DF427C">
        <w:t>, which sets out the sensitivity analysis performed by DTF. This analysis sets out the impact on both the net result from transactions and the net result of selected economic indicators being one</w:t>
      </w:r>
      <w:r>
        <w:t> per cent</w:t>
      </w:r>
      <w:r w:rsidRPr="00DF427C">
        <w:t xml:space="preserve"> higher </w:t>
      </w:r>
      <w:r>
        <w:t xml:space="preserve">or lower </w:t>
      </w:r>
      <w:r w:rsidRPr="00DF427C">
        <w:t>than expected.</w:t>
      </w:r>
    </w:p>
    <w:p w:rsidR="00F60B5F" w:rsidRPr="00DF427C" w:rsidRDefault="00F60B5F" w:rsidP="005C19CE">
      <w:pPr>
        <w:pStyle w:val="Heading3Numbering"/>
      </w:pPr>
      <w:r w:rsidRPr="00DF427C">
        <w:t xml:space="preserve">Prospective accounting changes </w:t>
      </w:r>
    </w:p>
    <w:p w:rsidR="00F60B5F" w:rsidRPr="00DF427C" w:rsidRDefault="00F60B5F" w:rsidP="005C19CE">
      <w:r>
        <w:t xml:space="preserve">The following relevant AAS </w:t>
      </w:r>
      <w:r w:rsidRPr="00DF427C">
        <w:t xml:space="preserve">have been issued by the </w:t>
      </w:r>
      <w:r>
        <w:t>AASB </w:t>
      </w:r>
      <w:r w:rsidRPr="00DF427C">
        <w:t>but are not yet ef</w:t>
      </w:r>
      <w:r>
        <w:t>fective for the 2013</w:t>
      </w:r>
      <w:r>
        <w:noBreakHyphen/>
        <w:t>14</w:t>
      </w:r>
      <w:r w:rsidRPr="00DF427C">
        <w:t xml:space="preserve"> year. They become effective for the first consolidated financial statements for reporting periods commencing after the relevant operative date as follows:</w:t>
      </w:r>
    </w:p>
    <w:p w:rsidR="00F60B5F" w:rsidRDefault="00F60B5F" w:rsidP="005C19CE">
      <w:pPr>
        <w:pStyle w:val="BulletText"/>
      </w:pPr>
      <w:r>
        <w:t>AASB </w:t>
      </w:r>
      <w:r w:rsidRPr="00DF427C">
        <w:t xml:space="preserve">9 </w:t>
      </w:r>
      <w:r w:rsidRPr="00DF427C">
        <w:rPr>
          <w:i/>
        </w:rPr>
        <w:t>Financial Instruments</w:t>
      </w:r>
      <w:r w:rsidRPr="00DF427C">
        <w:t xml:space="preserve">, operative from 1 January 2015 with early adoption permitted. This Standard simplifies requirements for the classification and measurement of financial assets and replaces those requirements in </w:t>
      </w:r>
      <w:r>
        <w:t>AASB </w:t>
      </w:r>
      <w:r w:rsidRPr="00DF427C">
        <w:t xml:space="preserve">139 </w:t>
      </w:r>
      <w:r w:rsidRPr="00DF427C">
        <w:rPr>
          <w:i/>
        </w:rPr>
        <w:t>Financial Instruments: Recognition and Measurement</w:t>
      </w:r>
      <w:r w:rsidRPr="00DF427C">
        <w:t>.</w:t>
      </w:r>
    </w:p>
    <w:p w:rsidR="00F60B5F" w:rsidRDefault="00F60B5F">
      <w:pPr>
        <w:spacing w:after="0"/>
      </w:pPr>
    </w:p>
    <w:p w:rsidR="00F60B5F" w:rsidRDefault="00F60B5F">
      <w:pPr>
        <w:spacing w:after="0"/>
        <w:rPr>
          <w:rFonts w:ascii="Calibri" w:hAnsi="Calibri"/>
          <w:b/>
          <w:kern w:val="28"/>
          <w:sz w:val="26"/>
          <w:szCs w:val="22"/>
        </w:rPr>
      </w:pPr>
      <w:r>
        <w:br w:type="page"/>
      </w:r>
    </w:p>
    <w:p w:rsidR="00F60B5F" w:rsidRPr="00AE6010" w:rsidRDefault="00F60B5F" w:rsidP="00AE6010">
      <w:pPr>
        <w:pStyle w:val="Heading2NotesContd"/>
        <w:rPr>
          <w:i/>
        </w:rPr>
      </w:pPr>
      <w:r>
        <w:t>Note 1:</w:t>
      </w:r>
      <w:r>
        <w:tab/>
        <w:t xml:space="preserve">Statement of significant accounting policies and forecast assumptions </w:t>
      </w:r>
      <w:r>
        <w:rPr>
          <w:i/>
        </w:rPr>
        <w:t>(continued)</w:t>
      </w:r>
    </w:p>
    <w:p w:rsidR="00F60B5F" w:rsidRDefault="00F60B5F" w:rsidP="005C19CE">
      <w:pPr>
        <w:pStyle w:val="BulletText"/>
      </w:pPr>
      <w:r>
        <w:t>AASB </w:t>
      </w:r>
      <w:r w:rsidRPr="00DF427C">
        <w:t xml:space="preserve">10 </w:t>
      </w:r>
      <w:r w:rsidRPr="00DF427C">
        <w:rPr>
          <w:i/>
        </w:rPr>
        <w:t>Consolidated Financial Statements,</w:t>
      </w:r>
      <w:r w:rsidRPr="00DF427C">
        <w:t xml:space="preserve"> operative from 1 January 2014 for </w:t>
      </w:r>
      <w:r>
        <w:t>not</w:t>
      </w:r>
      <w:r>
        <w:noBreakHyphen/>
        <w:t>for</w:t>
      </w:r>
      <w:r>
        <w:noBreakHyphen/>
        <w:t>profit</w:t>
      </w:r>
      <w:r w:rsidRPr="00DF427C">
        <w:t xml:space="preserve"> entities. </w:t>
      </w:r>
      <w:r w:rsidRPr="00FC18BF">
        <w:t xml:space="preserve">Once applicable, this Standard replaces those requirements in </w:t>
      </w:r>
      <w:r>
        <w:t>AASB </w:t>
      </w:r>
      <w:r w:rsidRPr="00FC18BF">
        <w:t xml:space="preserve">127 </w:t>
      </w:r>
      <w:r w:rsidRPr="003F7CF5">
        <w:rPr>
          <w:i/>
        </w:rPr>
        <w:t>Consolidated and Separate Financial Statements</w:t>
      </w:r>
      <w:r w:rsidRPr="00FC18BF">
        <w:t xml:space="preserve"> and Interpretation 112 </w:t>
      </w:r>
      <w:r w:rsidRPr="003F7CF5">
        <w:rPr>
          <w:i/>
        </w:rPr>
        <w:t>Consolidation – Special Purpose Entities</w:t>
      </w:r>
      <w:r w:rsidRPr="00FC18BF">
        <w:t xml:space="preserve">. Similar to </w:t>
      </w:r>
      <w:r>
        <w:t>AASB </w:t>
      </w:r>
      <w:r w:rsidRPr="00FC18BF">
        <w:t xml:space="preserve">127, the new Standard focuses on ‘control’ in determining whether an entity needs to consolidate another entity. However, the criteria to assess ‘control’ under the new Standard have changed. Three criteria are required to assess whether control exists, being: the entity’s </w:t>
      </w:r>
      <w:r>
        <w:t>power</w:t>
      </w:r>
      <w:r w:rsidRPr="00FC18BF">
        <w:t xml:space="preserve"> over an investee</w:t>
      </w:r>
      <w:r>
        <w:t>,</w:t>
      </w:r>
      <w:r w:rsidRPr="00FC18BF">
        <w:t xml:space="preserve"> the entity’s exposure, or rights</w:t>
      </w:r>
      <w:r>
        <w:t>,</w:t>
      </w:r>
      <w:r w:rsidRPr="00FC18BF">
        <w:t xml:space="preserve"> to va</w:t>
      </w:r>
      <w:r>
        <w:t>riable returns from an investee,</w:t>
      </w:r>
      <w:r w:rsidRPr="00FC18BF">
        <w:t xml:space="preserve"> and the ability to affect those returns through power over an investee. </w:t>
      </w:r>
      <w:r w:rsidRPr="00AD3236">
        <w:t xml:space="preserve">Recently the </w:t>
      </w:r>
      <w:r>
        <w:t>AASB </w:t>
      </w:r>
      <w:r w:rsidRPr="00AD3236">
        <w:t xml:space="preserve">issued an implementation </w:t>
      </w:r>
      <w:r>
        <w:t>guidance for application by not</w:t>
      </w:r>
      <w:r>
        <w:noBreakHyphen/>
        <w:t>for</w:t>
      </w:r>
      <w:r>
        <w:noBreakHyphen/>
        <w:t>profit</w:t>
      </w:r>
      <w:r w:rsidRPr="00DF427C">
        <w:t xml:space="preserve"> </w:t>
      </w:r>
      <w:r w:rsidRPr="00AD3236">
        <w:t>entities. In light of the guidance, considerations will be made with regard to the State’s relationships with other entities, including the potential consolidation implications.</w:t>
      </w:r>
      <w:r>
        <w:t xml:space="preserve"> </w:t>
      </w:r>
    </w:p>
    <w:p w:rsidR="00F60B5F" w:rsidRPr="00AD3236" w:rsidRDefault="00F60B5F" w:rsidP="005C19CE">
      <w:pPr>
        <w:pStyle w:val="BulletText"/>
      </w:pPr>
      <w:r>
        <w:t>AASB </w:t>
      </w:r>
      <w:r w:rsidRPr="00DF427C">
        <w:t xml:space="preserve">11 </w:t>
      </w:r>
      <w:r w:rsidRPr="00DF427C">
        <w:rPr>
          <w:i/>
        </w:rPr>
        <w:t>Joint Arrangements,</w:t>
      </w:r>
      <w:r w:rsidRPr="00DF427C">
        <w:t xml:space="preserve"> operative from 1 January 2014 for </w:t>
      </w:r>
      <w:r>
        <w:t>not</w:t>
      </w:r>
      <w:r>
        <w:noBreakHyphen/>
        <w:t>for</w:t>
      </w:r>
      <w:r>
        <w:noBreakHyphen/>
        <w:t>profit</w:t>
      </w:r>
      <w:r w:rsidRPr="00DF427C">
        <w:t xml:space="preserve"> entities. This Standard requires entities that have an interest in arrangements that are controlled jointly to assess whether the arrangement is a joint operation or joint venture. If the arrangement is assessed to be a joint operation, it shall be accounted for as per </w:t>
      </w:r>
      <w:r>
        <w:t>AASB </w:t>
      </w:r>
      <w:r w:rsidRPr="00DF427C">
        <w:t xml:space="preserve">11. If the arrangement is assessed to be a joint venture, it shall be accounted for as per </w:t>
      </w:r>
      <w:r>
        <w:t>AASB </w:t>
      </w:r>
      <w:r w:rsidRPr="00DF427C">
        <w:t xml:space="preserve">128 </w:t>
      </w:r>
      <w:r w:rsidRPr="00DF427C">
        <w:rPr>
          <w:i/>
        </w:rPr>
        <w:t>Investments in Associates</w:t>
      </w:r>
      <w:r w:rsidRPr="00DF427C">
        <w:t xml:space="preserve"> </w:t>
      </w:r>
      <w:r w:rsidRPr="00D67EC0">
        <w:rPr>
          <w:i/>
        </w:rPr>
        <w:t xml:space="preserve">and </w:t>
      </w:r>
      <w:r w:rsidRPr="00DF427C">
        <w:rPr>
          <w:i/>
        </w:rPr>
        <w:t>Joint Ventures</w:t>
      </w:r>
      <w:r w:rsidRPr="00DF427C">
        <w:t xml:space="preserve"> (see below). </w:t>
      </w:r>
      <w:r>
        <w:t>AASB </w:t>
      </w:r>
      <w:r w:rsidRPr="00DF427C">
        <w:t xml:space="preserve">11 replaces those requirements in </w:t>
      </w:r>
      <w:r>
        <w:t>AASB </w:t>
      </w:r>
      <w:r w:rsidRPr="00DF427C">
        <w:t xml:space="preserve">131 </w:t>
      </w:r>
      <w:r w:rsidRPr="00DF427C">
        <w:rPr>
          <w:i/>
        </w:rPr>
        <w:t>Interests in Joint Ventures</w:t>
      </w:r>
      <w:r w:rsidRPr="00DF427C">
        <w:t xml:space="preserve">. </w:t>
      </w:r>
      <w:r w:rsidRPr="00AD3236">
        <w:t xml:space="preserve">In light of the implementation guidance recently issued by the </w:t>
      </w:r>
      <w:r>
        <w:t>AASB for not</w:t>
      </w:r>
      <w:r>
        <w:noBreakHyphen/>
        <w:t>for</w:t>
      </w:r>
      <w:r>
        <w:noBreakHyphen/>
        <w:t>profit</w:t>
      </w:r>
      <w:r w:rsidRPr="00DF427C">
        <w:t xml:space="preserve"> </w:t>
      </w:r>
      <w:r>
        <w:t>entities</w:t>
      </w:r>
      <w:r w:rsidRPr="00AD3236">
        <w:t>, the State is continuing its assessment of the potential implications of the Standard.</w:t>
      </w:r>
    </w:p>
    <w:p w:rsidR="00F60B5F" w:rsidRPr="00AD3236" w:rsidRDefault="00F60B5F" w:rsidP="005C19CE">
      <w:pPr>
        <w:pStyle w:val="BulletText"/>
      </w:pPr>
      <w:r>
        <w:t>AASB </w:t>
      </w:r>
      <w:r w:rsidRPr="00AD3236">
        <w:t xml:space="preserve">12 </w:t>
      </w:r>
      <w:r w:rsidRPr="00AD3236">
        <w:rPr>
          <w:i/>
        </w:rPr>
        <w:t>Disclosure of Interests in Other Entities,</w:t>
      </w:r>
      <w:r w:rsidRPr="00AD3236">
        <w:t xml:space="preserve"> operative from 1 January 2014 for </w:t>
      </w:r>
      <w:r>
        <w:t>not</w:t>
      </w:r>
      <w:r>
        <w:noBreakHyphen/>
        <w:t>for</w:t>
      </w:r>
      <w:r>
        <w:noBreakHyphen/>
        <w:t>profit</w:t>
      </w:r>
      <w:r w:rsidRPr="00DF427C">
        <w:t xml:space="preserve"> </w:t>
      </w:r>
      <w:r w:rsidRPr="00AD3236">
        <w:t xml:space="preserve">entities. This Standard requires disclosure of information that enables users of its financial statements to evaluate the nature of, and risks associated with, its interests in other entities and the effects of those interests on the financial statements. This Standard replaces the disclosure requirements in </w:t>
      </w:r>
      <w:r>
        <w:t>AASB </w:t>
      </w:r>
      <w:r w:rsidRPr="00AD3236">
        <w:t xml:space="preserve">127 </w:t>
      </w:r>
      <w:r w:rsidRPr="00AD3236">
        <w:rPr>
          <w:i/>
        </w:rPr>
        <w:t>Separate Financial Statements</w:t>
      </w:r>
      <w:r w:rsidRPr="00AD3236">
        <w:t xml:space="preserve"> and </w:t>
      </w:r>
      <w:r>
        <w:t>AASB </w:t>
      </w:r>
      <w:r w:rsidRPr="00AD3236">
        <w:t xml:space="preserve">131 </w:t>
      </w:r>
      <w:r w:rsidRPr="00AD3236">
        <w:rPr>
          <w:i/>
        </w:rPr>
        <w:t>Interests in Joint Ventures</w:t>
      </w:r>
      <w:r w:rsidRPr="00AD3236">
        <w:t xml:space="preserve">. In light of the implementation guidance recently issued by the </w:t>
      </w:r>
      <w:r>
        <w:t>AASB for not</w:t>
      </w:r>
      <w:r>
        <w:noBreakHyphen/>
        <w:t>for</w:t>
      </w:r>
      <w:r>
        <w:noBreakHyphen/>
        <w:t>profit</w:t>
      </w:r>
      <w:r w:rsidRPr="00DF427C">
        <w:t xml:space="preserve"> </w:t>
      </w:r>
      <w:r>
        <w:t>entities</w:t>
      </w:r>
      <w:r w:rsidRPr="00AD3236">
        <w:t xml:space="preserve">, the State is continuing its assessment of the potential implications of the Standard. </w:t>
      </w:r>
    </w:p>
    <w:p w:rsidR="00F60B5F" w:rsidRPr="00AD3236" w:rsidRDefault="00F60B5F" w:rsidP="005C19CE">
      <w:pPr>
        <w:pStyle w:val="BulletText"/>
      </w:pPr>
      <w:r>
        <w:t>AASB </w:t>
      </w:r>
      <w:r w:rsidRPr="00AD3236">
        <w:t xml:space="preserve">127 </w:t>
      </w:r>
      <w:r w:rsidRPr="00AD3236">
        <w:rPr>
          <w:i/>
        </w:rPr>
        <w:t>Separate Financial Statements,</w:t>
      </w:r>
      <w:r w:rsidRPr="00AD3236">
        <w:t xml:space="preserve"> operative from 1 January 2014 with early adoption permitted for </w:t>
      </w:r>
      <w:r>
        <w:t>not</w:t>
      </w:r>
      <w:r>
        <w:noBreakHyphen/>
        <w:t>for</w:t>
      </w:r>
      <w:r>
        <w:noBreakHyphen/>
        <w:t>profit</w:t>
      </w:r>
      <w:r w:rsidRPr="00DF427C">
        <w:t xml:space="preserve"> </w:t>
      </w:r>
      <w:r w:rsidRPr="00AD3236">
        <w:t xml:space="preserve">entities from 1 January 2013. This revised Standard prescribes the accounting and disclosure requirements for investments in subsidiaries, joint ventures and associates when an entity prepares separate financial statements and replaces </w:t>
      </w:r>
      <w:r>
        <w:t>AASB </w:t>
      </w:r>
      <w:r w:rsidRPr="00AD3236">
        <w:t xml:space="preserve">127 (March 2008, as amended). In light of the implementation guidance recently issued by the </w:t>
      </w:r>
      <w:r>
        <w:t>AASB </w:t>
      </w:r>
      <w:r w:rsidRPr="00AD3236">
        <w:t xml:space="preserve">for </w:t>
      </w:r>
      <w:r>
        <w:t>not</w:t>
      </w:r>
      <w:r>
        <w:noBreakHyphen/>
        <w:t>for</w:t>
      </w:r>
      <w:r>
        <w:noBreakHyphen/>
        <w:t>profit</w:t>
      </w:r>
      <w:r w:rsidRPr="00DF427C">
        <w:t xml:space="preserve"> </w:t>
      </w:r>
      <w:r w:rsidRPr="00AD3236">
        <w:t>entities, the State is continuing its assessment of the potential implications of the Standard.</w:t>
      </w:r>
    </w:p>
    <w:p w:rsidR="00F60B5F" w:rsidRDefault="00F60B5F">
      <w:pPr>
        <w:spacing w:after="0"/>
      </w:pPr>
      <w:r>
        <w:br w:type="page"/>
      </w:r>
    </w:p>
    <w:p w:rsidR="00F60B5F" w:rsidRPr="00AE6010" w:rsidRDefault="00F60B5F" w:rsidP="00AE6010">
      <w:pPr>
        <w:pStyle w:val="Heading2NotesContd"/>
        <w:rPr>
          <w:i/>
        </w:rPr>
      </w:pPr>
      <w:r>
        <w:t>Note 1:</w:t>
      </w:r>
      <w:r>
        <w:tab/>
        <w:t xml:space="preserve">Statement of significant accounting policies and forecast assumptions </w:t>
      </w:r>
      <w:r>
        <w:rPr>
          <w:i/>
        </w:rPr>
        <w:t>(continued)</w:t>
      </w:r>
    </w:p>
    <w:p w:rsidR="00F60B5F" w:rsidRPr="00AD3236" w:rsidRDefault="00F60B5F" w:rsidP="005C19CE">
      <w:pPr>
        <w:pStyle w:val="BulletText"/>
        <w:rPr>
          <w:b/>
        </w:rPr>
      </w:pPr>
      <w:r>
        <w:t>AASB </w:t>
      </w:r>
      <w:r w:rsidRPr="00AD3236">
        <w:t xml:space="preserve">128 </w:t>
      </w:r>
      <w:r w:rsidRPr="00AD3236">
        <w:rPr>
          <w:i/>
        </w:rPr>
        <w:t>Investments in Associates and Joint Ventures,</w:t>
      </w:r>
      <w:r w:rsidRPr="00AD3236">
        <w:t xml:space="preserve"> operative from 1 January 2014 with early adoption permitted for </w:t>
      </w:r>
      <w:r>
        <w:t>not</w:t>
      </w:r>
      <w:r>
        <w:noBreakHyphen/>
        <w:t>for</w:t>
      </w:r>
      <w:r>
        <w:noBreakHyphen/>
        <w:t>profit</w:t>
      </w:r>
      <w:r w:rsidRPr="00DF427C">
        <w:t xml:space="preserve"> </w:t>
      </w:r>
      <w:r w:rsidRPr="00AD3236">
        <w:t xml:space="preserve">entities from 1 January 2013. This revised Standard sets out the requirements for the application of the equity method when accounting for investments in associates and joint ventures. In light of the implementation guidance recently issued by the </w:t>
      </w:r>
      <w:r>
        <w:t>AASB </w:t>
      </w:r>
      <w:r w:rsidRPr="00AD3236">
        <w:t xml:space="preserve">for </w:t>
      </w:r>
      <w:r>
        <w:t>not</w:t>
      </w:r>
      <w:r>
        <w:noBreakHyphen/>
        <w:t>for</w:t>
      </w:r>
      <w:r>
        <w:noBreakHyphen/>
        <w:t>profit</w:t>
      </w:r>
      <w:r w:rsidRPr="00DF427C">
        <w:t xml:space="preserve"> </w:t>
      </w:r>
      <w:r w:rsidRPr="00AD3236">
        <w:t xml:space="preserve">entities, the State is continuing </w:t>
      </w:r>
      <w:r>
        <w:t xml:space="preserve">its </w:t>
      </w:r>
      <w:r w:rsidRPr="00AD3236">
        <w:t>assessment of the potential implications of the Standard.</w:t>
      </w:r>
    </w:p>
    <w:p w:rsidR="00F60B5F" w:rsidRPr="00DA073E" w:rsidRDefault="00F60B5F" w:rsidP="005C19CE">
      <w:pPr>
        <w:pStyle w:val="BulletText"/>
      </w:pPr>
      <w:r>
        <w:t>AASB </w:t>
      </w:r>
      <w:r w:rsidRPr="00D00665">
        <w:t xml:space="preserve">1055 </w:t>
      </w:r>
      <w:r w:rsidRPr="00D00665">
        <w:rPr>
          <w:i/>
        </w:rPr>
        <w:t>Budgetary Reporting</w:t>
      </w:r>
      <w:r w:rsidRPr="00D00665">
        <w:t xml:space="preserve">, operative from 1 January 2014. This Standard sets out the budgetary reporting requirements for the whole of government, the general government sector, as well as for </w:t>
      </w:r>
      <w:r>
        <w:t>not</w:t>
      </w:r>
      <w:r>
        <w:noBreakHyphen/>
        <w:t>for</w:t>
      </w:r>
      <w:r>
        <w:noBreakHyphen/>
        <w:t>profit</w:t>
      </w:r>
      <w:r w:rsidRPr="00DF427C">
        <w:t xml:space="preserve"> </w:t>
      </w:r>
      <w:r w:rsidRPr="00D00665">
        <w:t>entities in the general government sector to the extent that separate budgetary information is presented to Parliament. From the whole of government and general government sector</w:t>
      </w:r>
      <w:r>
        <w:t>’</w:t>
      </w:r>
      <w:r w:rsidRPr="00D00665">
        <w:t xml:space="preserve">s perspective, this Standard replicates the budgetary disclosure requirements that currently exist in </w:t>
      </w:r>
      <w:r>
        <w:t>AASB </w:t>
      </w:r>
      <w:r w:rsidRPr="00D00665">
        <w:t xml:space="preserve">1049 and therefore will not result in any impacts on reporting. </w:t>
      </w:r>
    </w:p>
    <w:p w:rsidR="00F60B5F" w:rsidRPr="00DF427C" w:rsidRDefault="00F60B5F" w:rsidP="005C19CE">
      <w:r w:rsidRPr="00DF427C">
        <w:t>Several other amending standards have been issued that are applicable for future reporting periods which have insignificant impacts on public sector reporting.</w:t>
      </w:r>
    </w:p>
    <w:p w:rsidR="00F60B5F" w:rsidRDefault="00F60B5F" w:rsidP="005C19CE">
      <w:r w:rsidRPr="00DF427C">
        <w:t>At this stage, there is no intention to early adopt the above accounting standards.</w:t>
      </w:r>
    </w:p>
    <w:p w:rsidR="00F60B5F" w:rsidRDefault="00F60B5F">
      <w:pPr>
        <w:spacing w:after="0"/>
      </w:pPr>
    </w:p>
    <w:p w:rsidR="00F60B5F" w:rsidRPr="00B56B1C" w:rsidRDefault="00F60B5F" w:rsidP="00172054"/>
    <w:p w:rsidR="00F60B5F" w:rsidRDefault="00F60B5F">
      <w:pPr>
        <w:spacing w:after="0"/>
        <w:rPr>
          <w:rFonts w:ascii="Calibri" w:hAnsi="Calibri"/>
          <w:b/>
          <w:kern w:val="28"/>
          <w:sz w:val="26"/>
          <w:szCs w:val="22"/>
        </w:rPr>
      </w:pPr>
      <w:bookmarkStart w:id="27" w:name="_Toc373751808"/>
      <w:r>
        <w:br w:type="page"/>
      </w:r>
    </w:p>
    <w:p w:rsidR="00F60B5F" w:rsidRPr="00B56B1C" w:rsidRDefault="00F60B5F" w:rsidP="00C54DC6">
      <w:pPr>
        <w:pStyle w:val="Heading2Notes"/>
      </w:pPr>
      <w:r w:rsidRPr="00B56B1C">
        <w:t>Note 2:</w:t>
      </w:r>
      <w:r w:rsidRPr="00B56B1C">
        <w:tab/>
        <w:t>Taxation</w:t>
      </w:r>
      <w:bookmarkEnd w:id="27"/>
    </w:p>
    <w:p w:rsidR="00F60B5F" w:rsidRPr="00820AF8" w:rsidRDefault="00F60B5F" w:rsidP="00820AF8">
      <w:pPr>
        <w:pStyle w:val="million"/>
        <w:rPr>
          <w:rFonts w:ascii="Times New Roman" w:hAnsi="Times New Roman"/>
          <w:i w:val="0"/>
          <w:sz w:val="20"/>
          <w:szCs w:val="20"/>
          <w:lang w:eastAsia="en-AU"/>
        </w:rPr>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758"/>
        <w:gridCol w:w="236"/>
        <w:gridCol w:w="61"/>
        <w:gridCol w:w="425"/>
        <w:gridCol w:w="272"/>
        <w:gridCol w:w="236"/>
        <w:gridCol w:w="994"/>
        <w:gridCol w:w="994"/>
        <w:gridCol w:w="994"/>
      </w:tblGrid>
      <w:tr w:rsidR="00F60B5F" w:rsidRPr="00820AF8" w:rsidTr="00820AF8">
        <w:tc>
          <w:tcPr>
            <w:tcW w:w="2790" w:type="dxa"/>
            <w:tcBorders>
              <w:top w:val="single" w:sz="6" w:space="0" w:color="auto"/>
              <w:left w:val="single" w:sz="6" w:space="0" w:color="auto"/>
              <w:bottom w:val="nil"/>
              <w:right w:val="nil"/>
            </w:tcBorders>
            <w:shd w:val="clear" w:color="000000" w:fill="000000"/>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w:t>
            </w:r>
          </w:p>
        </w:tc>
        <w:tc>
          <w:tcPr>
            <w:tcW w:w="994" w:type="dxa"/>
            <w:gridSpan w:val="2"/>
            <w:tcBorders>
              <w:top w:val="single" w:sz="6" w:space="0" w:color="auto"/>
              <w:left w:val="nil"/>
              <w:bottom w:val="nil"/>
              <w:right w:val="nil"/>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2013</w:t>
            </w:r>
            <w:r>
              <w:rPr>
                <w:rFonts w:eastAsiaTheme="minorEastAsia"/>
                <w:iCs/>
                <w:color w:val="FFFFFF"/>
                <w:sz w:val="18"/>
                <w:lang w:eastAsia="en-AU"/>
              </w:rPr>
              <w:noBreakHyphen/>
            </w:r>
            <w:r w:rsidRPr="00820AF8">
              <w:rPr>
                <w:rFonts w:eastAsiaTheme="minorEastAsia"/>
                <w:iCs/>
                <w:color w:val="FFFFFF"/>
                <w:sz w:val="18"/>
                <w:lang w:eastAsia="en-AU"/>
              </w:rPr>
              <w:t>14</w:t>
            </w:r>
          </w:p>
        </w:tc>
        <w:tc>
          <w:tcPr>
            <w:tcW w:w="994" w:type="dxa"/>
            <w:gridSpan w:val="4"/>
            <w:tcBorders>
              <w:top w:val="single" w:sz="6" w:space="0" w:color="auto"/>
              <w:left w:val="nil"/>
              <w:bottom w:val="nil"/>
              <w:right w:val="nil"/>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2013</w:t>
            </w:r>
            <w:r>
              <w:rPr>
                <w:rFonts w:eastAsiaTheme="minorEastAsia"/>
                <w:iCs/>
                <w:color w:val="FFFFFF"/>
                <w:sz w:val="18"/>
                <w:lang w:eastAsia="en-AU"/>
              </w:rPr>
              <w:noBreakHyphen/>
            </w:r>
            <w:r w:rsidRPr="00820AF8">
              <w:rPr>
                <w:rFonts w:eastAsiaTheme="minorEastAsia"/>
                <w:iCs/>
                <w:color w:val="FFFFFF"/>
                <w:sz w:val="18"/>
                <w:lang w:eastAsia="en-AU"/>
              </w:rPr>
              <w:t>14</w:t>
            </w:r>
          </w:p>
        </w:tc>
        <w:tc>
          <w:tcPr>
            <w:tcW w:w="994" w:type="dxa"/>
            <w:tcBorders>
              <w:top w:val="single" w:sz="6" w:space="0" w:color="auto"/>
              <w:left w:val="nil"/>
              <w:bottom w:val="nil"/>
              <w:right w:val="nil"/>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2014</w:t>
            </w:r>
            <w:r>
              <w:rPr>
                <w:rFonts w:eastAsiaTheme="minorEastAsia"/>
                <w:iCs/>
                <w:color w:val="FFFFFF"/>
                <w:sz w:val="18"/>
                <w:lang w:eastAsia="en-AU"/>
              </w:rPr>
              <w:noBreakHyphen/>
            </w:r>
            <w:r w:rsidRPr="00820AF8">
              <w:rPr>
                <w:rFonts w:eastAsiaTheme="minorEastAsia"/>
                <w:iCs/>
                <w:color w:val="FFFFFF"/>
                <w:sz w:val="18"/>
                <w:lang w:eastAsia="en-AU"/>
              </w:rPr>
              <w:t>15</w:t>
            </w:r>
          </w:p>
        </w:tc>
        <w:tc>
          <w:tcPr>
            <w:tcW w:w="994" w:type="dxa"/>
            <w:tcBorders>
              <w:top w:val="single" w:sz="6" w:space="0" w:color="auto"/>
              <w:left w:val="nil"/>
              <w:bottom w:val="nil"/>
              <w:right w:val="nil"/>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2015</w:t>
            </w:r>
            <w:r>
              <w:rPr>
                <w:rFonts w:eastAsiaTheme="minorEastAsia"/>
                <w:iCs/>
                <w:color w:val="FFFFFF"/>
                <w:sz w:val="18"/>
                <w:lang w:eastAsia="en-AU"/>
              </w:rPr>
              <w:noBreakHyphen/>
            </w:r>
            <w:r w:rsidRPr="00820AF8">
              <w:rPr>
                <w:rFonts w:eastAsiaTheme="minorEastAsia"/>
                <w:iCs/>
                <w:color w:val="FFFFFF"/>
                <w:sz w:val="18"/>
                <w:lang w:eastAsia="en-AU"/>
              </w:rPr>
              <w:t>16</w:t>
            </w:r>
          </w:p>
        </w:tc>
        <w:tc>
          <w:tcPr>
            <w:tcW w:w="994" w:type="dxa"/>
            <w:tcBorders>
              <w:top w:val="single" w:sz="6" w:space="0" w:color="auto"/>
              <w:left w:val="nil"/>
              <w:bottom w:val="nil"/>
              <w:right w:val="single" w:sz="6" w:space="0" w:color="auto"/>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2016</w:t>
            </w:r>
            <w:r>
              <w:rPr>
                <w:rFonts w:eastAsiaTheme="minorEastAsia"/>
                <w:iCs/>
                <w:color w:val="FFFFFF"/>
                <w:sz w:val="18"/>
                <w:lang w:eastAsia="en-AU"/>
              </w:rPr>
              <w:noBreakHyphen/>
            </w:r>
            <w:r w:rsidRPr="00820AF8">
              <w:rPr>
                <w:rFonts w:eastAsiaTheme="minorEastAsia"/>
                <w:iCs/>
                <w:color w:val="FFFFFF"/>
                <w:sz w:val="18"/>
                <w:lang w:eastAsia="en-AU"/>
              </w:rPr>
              <w:t>17</w:t>
            </w:r>
          </w:p>
        </w:tc>
      </w:tr>
      <w:tr w:rsidR="00F60B5F" w:rsidRPr="00820AF8" w:rsidTr="00820AF8">
        <w:tc>
          <w:tcPr>
            <w:tcW w:w="2790" w:type="dxa"/>
            <w:tcBorders>
              <w:top w:val="nil"/>
              <w:left w:val="single" w:sz="6" w:space="0" w:color="auto"/>
              <w:bottom w:val="single" w:sz="6" w:space="0" w:color="auto"/>
              <w:right w:val="nil"/>
            </w:tcBorders>
            <w:shd w:val="clear" w:color="000000" w:fill="000000"/>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w:t>
            </w:r>
          </w:p>
        </w:tc>
        <w:tc>
          <w:tcPr>
            <w:tcW w:w="994" w:type="dxa"/>
            <w:gridSpan w:val="2"/>
            <w:tcBorders>
              <w:top w:val="nil"/>
              <w:left w:val="nil"/>
              <w:bottom w:val="single" w:sz="6" w:space="0" w:color="auto"/>
              <w:right w:val="nil"/>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Budget</w:t>
            </w:r>
          </w:p>
        </w:tc>
        <w:tc>
          <w:tcPr>
            <w:tcW w:w="994" w:type="dxa"/>
            <w:gridSpan w:val="4"/>
            <w:tcBorders>
              <w:top w:val="nil"/>
              <w:left w:val="nil"/>
              <w:bottom w:val="single" w:sz="6" w:space="0" w:color="auto"/>
              <w:right w:val="nil"/>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Revised</w:t>
            </w:r>
          </w:p>
        </w:tc>
        <w:tc>
          <w:tcPr>
            <w:tcW w:w="994" w:type="dxa"/>
            <w:tcBorders>
              <w:top w:val="nil"/>
              <w:left w:val="nil"/>
              <w:bottom w:val="single" w:sz="6" w:space="0" w:color="auto"/>
              <w:right w:val="nil"/>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Estimate</w:t>
            </w:r>
          </w:p>
        </w:tc>
        <w:tc>
          <w:tcPr>
            <w:tcW w:w="994" w:type="dxa"/>
            <w:tcBorders>
              <w:top w:val="nil"/>
              <w:left w:val="nil"/>
              <w:bottom w:val="single" w:sz="6" w:space="0" w:color="auto"/>
              <w:right w:val="nil"/>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Estimate</w:t>
            </w:r>
          </w:p>
        </w:tc>
        <w:tc>
          <w:tcPr>
            <w:tcW w:w="994" w:type="dxa"/>
            <w:tcBorders>
              <w:top w:val="nil"/>
              <w:left w:val="nil"/>
              <w:bottom w:val="single" w:sz="6" w:space="0" w:color="auto"/>
              <w:right w:val="single" w:sz="6" w:space="0" w:color="auto"/>
            </w:tcBorders>
            <w:shd w:val="clear" w:color="000000" w:fill="000000"/>
          </w:tcPr>
          <w:p w:rsidR="00F60B5F" w:rsidRPr="00820AF8" w:rsidRDefault="00F60B5F" w:rsidP="00820AF8">
            <w:pPr>
              <w:pStyle w:val="Tabletextheading"/>
              <w:rPr>
                <w:rFonts w:eastAsiaTheme="minorEastAsia"/>
                <w:iCs/>
                <w:color w:val="FFFFFF"/>
                <w:sz w:val="18"/>
                <w:lang w:eastAsia="en-AU"/>
              </w:rPr>
            </w:pPr>
            <w:r w:rsidRPr="00820AF8">
              <w:rPr>
                <w:rFonts w:eastAsiaTheme="minorEastAsia"/>
                <w:iCs/>
                <w:color w:val="FFFFFF"/>
                <w:sz w:val="18"/>
                <w:lang w:eastAsia="en-AU"/>
              </w:rPr>
              <w:t>Estimate</w:t>
            </w:r>
          </w:p>
        </w:tc>
      </w:tr>
      <w:tr w:rsidR="00F60B5F" w:rsidRPr="00820AF8" w:rsidTr="00820AF8">
        <w:tc>
          <w:tcPr>
            <w:tcW w:w="2790" w:type="dxa"/>
            <w:tcBorders>
              <w:top w:val="single" w:sz="6" w:space="0" w:color="auto"/>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Taxes on employers' payroll and labour force</w:t>
            </w:r>
          </w:p>
        </w:tc>
        <w:tc>
          <w:tcPr>
            <w:tcW w:w="994" w:type="dxa"/>
            <w:gridSpan w:val="2"/>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5 110.9</w:t>
            </w:r>
          </w:p>
        </w:tc>
        <w:tc>
          <w:tcPr>
            <w:tcW w:w="994" w:type="dxa"/>
            <w:gridSpan w:val="4"/>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4 910.0</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5 180.1</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5 481.0</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5 786.0</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Taxes on property</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 xml:space="preserve">  Taxes on immovable property</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Land tax</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1 564.6</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1 566.4</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1 803.9</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1 762.6</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1 984.5</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Fire services property levy</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610.9</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610.9</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605.9</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612.4</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625.1</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Congestion levy</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93.5</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93.5</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123.0</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125.9</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129.1</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Metropolitan improvement levy</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141.3</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140.8</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145.7</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150.8</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157.4</w:t>
            </w:r>
          </w:p>
        </w:tc>
      </w:tr>
      <w:tr w:rsidR="00F60B5F" w:rsidRPr="00820AF8" w:rsidTr="00820AF8">
        <w:tc>
          <w:tcPr>
            <w:tcW w:w="2790" w:type="dxa"/>
            <w:tcBorders>
              <w:top w:val="single" w:sz="6" w:space="0" w:color="auto"/>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Total taxes on immovable property</w:t>
            </w:r>
          </w:p>
        </w:tc>
        <w:tc>
          <w:tcPr>
            <w:tcW w:w="994" w:type="dxa"/>
            <w:gridSpan w:val="2"/>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2 410.2</w:t>
            </w:r>
          </w:p>
        </w:tc>
        <w:tc>
          <w:tcPr>
            <w:tcW w:w="994" w:type="dxa"/>
            <w:gridSpan w:val="4"/>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2 411.6</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2 678.5</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2 651.8</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2 896.1</w:t>
            </w:r>
          </w:p>
        </w:tc>
      </w:tr>
      <w:tr w:rsidR="00F60B5F" w:rsidRPr="00820AF8" w:rsidTr="00820AF8">
        <w:tc>
          <w:tcPr>
            <w:tcW w:w="3548" w:type="dxa"/>
            <w:gridSpan w:val="2"/>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 xml:space="preserve">  Financial and capital transactions</w:t>
            </w:r>
          </w:p>
        </w:tc>
        <w:tc>
          <w:tcPr>
            <w:tcW w:w="236"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Land transfer duty</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3 459.5</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3 908.6</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4 143.7</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4 392.1</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4 655.3</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Other property duties</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8.1</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6.8</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6.9</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7.1</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7.3</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Financial accommodation levy</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132.8</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130.8</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171.0</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214.0</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244.5</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Growth Areas Infrastructure Contribution</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64.3</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59.5</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62.8</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66.2</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69.8</w:t>
            </w:r>
          </w:p>
        </w:tc>
      </w:tr>
      <w:tr w:rsidR="00F60B5F" w:rsidRPr="00820AF8" w:rsidTr="00820AF8">
        <w:tc>
          <w:tcPr>
            <w:tcW w:w="2790"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Total financial and capital transactions</w:t>
            </w:r>
          </w:p>
        </w:tc>
        <w:tc>
          <w:tcPr>
            <w:tcW w:w="994" w:type="dxa"/>
            <w:gridSpan w:val="2"/>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3 664.7</w:t>
            </w:r>
          </w:p>
        </w:tc>
        <w:tc>
          <w:tcPr>
            <w:tcW w:w="994" w:type="dxa"/>
            <w:gridSpan w:val="4"/>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4 105.6</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4 384.4</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4 679.4</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4 976.9</w:t>
            </w:r>
          </w:p>
        </w:tc>
      </w:tr>
      <w:tr w:rsidR="00F60B5F" w:rsidRPr="00820AF8" w:rsidTr="00820AF8">
        <w:tc>
          <w:tcPr>
            <w:tcW w:w="2790"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Total taxes on property</w:t>
            </w:r>
          </w:p>
        </w:tc>
        <w:tc>
          <w:tcPr>
            <w:tcW w:w="994" w:type="dxa"/>
            <w:gridSpan w:val="2"/>
            <w:tcBorders>
              <w:top w:val="nil"/>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6 074.9</w:t>
            </w:r>
          </w:p>
        </w:tc>
        <w:tc>
          <w:tcPr>
            <w:tcW w:w="994" w:type="dxa"/>
            <w:gridSpan w:val="4"/>
            <w:tcBorders>
              <w:top w:val="nil"/>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6 517.1</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7 062.9</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7 331.1</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7 873.0</w:t>
            </w:r>
          </w:p>
        </w:tc>
      </w:tr>
      <w:tr w:rsidR="00F60B5F" w:rsidRPr="00820AF8" w:rsidTr="00820AF8">
        <w:tc>
          <w:tcPr>
            <w:tcW w:w="3845" w:type="dxa"/>
            <w:gridSpan w:val="4"/>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Taxes on the provision of goods and services</w:t>
            </w:r>
          </w:p>
        </w:tc>
        <w:tc>
          <w:tcPr>
            <w:tcW w:w="425"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508" w:type="dxa"/>
            <w:gridSpan w:val="2"/>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 xml:space="preserve">  Gambling taxes</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Private lotteries</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410.1</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397.7</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408.3</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424.4</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437.7</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Electronic gaming machines</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1 154.4</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1 013.4</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1 098.1</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1 100.8</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1 104.1</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Casino</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230.6</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223.6</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283.3</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294.5</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306.3</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Racing</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91.3</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88.1</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89.5</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90.7</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91.9</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Other</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20.2</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19.7</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23.2</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28.9</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36.4</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Total gambling taxes</w:t>
            </w:r>
          </w:p>
        </w:tc>
        <w:tc>
          <w:tcPr>
            <w:tcW w:w="994" w:type="dxa"/>
            <w:gridSpan w:val="2"/>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1 906.6</w:t>
            </w:r>
          </w:p>
        </w:tc>
        <w:tc>
          <w:tcPr>
            <w:tcW w:w="994" w:type="dxa"/>
            <w:gridSpan w:val="4"/>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1 742.5</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1 902.4</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1 939.3</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1 976.3</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vertAlign w:val="superscript"/>
                <w:lang w:eastAsia="en-AU"/>
              </w:rPr>
            </w:pPr>
            <w:r w:rsidRPr="00820AF8">
              <w:rPr>
                <w:rFonts w:eastAsiaTheme="minorEastAsia"/>
                <w:b/>
                <w:bCs/>
                <w:sz w:val="18"/>
                <w:lang w:eastAsia="en-AU"/>
              </w:rPr>
              <w:t xml:space="preserve">Levies on statutory corporations </w:t>
            </w:r>
            <w:r w:rsidRPr="00820AF8">
              <w:rPr>
                <w:rFonts w:eastAsiaTheme="minorEastAsia"/>
                <w:b/>
                <w:bCs/>
                <w:sz w:val="18"/>
                <w:vertAlign w:val="superscript"/>
                <w:lang w:eastAsia="en-AU"/>
              </w:rPr>
              <w:t>(a)</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117.5</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112.5</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112.5</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112.5</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Taxes on insurance</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1 049.8</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1 041.9</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1 111.1</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1 182.7</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1 259.0</w:t>
            </w:r>
          </w:p>
        </w:tc>
      </w:tr>
      <w:tr w:rsidR="00F60B5F" w:rsidRPr="00820AF8" w:rsidTr="00820AF8">
        <w:tc>
          <w:tcPr>
            <w:tcW w:w="2790"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Total taxes on the provision of goods and services</w:t>
            </w:r>
          </w:p>
        </w:tc>
        <w:tc>
          <w:tcPr>
            <w:tcW w:w="994" w:type="dxa"/>
            <w:gridSpan w:val="2"/>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3 073.8</w:t>
            </w:r>
          </w:p>
        </w:tc>
        <w:tc>
          <w:tcPr>
            <w:tcW w:w="994" w:type="dxa"/>
            <w:gridSpan w:val="4"/>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2 896.9</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3 126.0</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3 234.5</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3 235.3</w:t>
            </w:r>
          </w:p>
        </w:tc>
      </w:tr>
      <w:tr w:rsidR="00F60B5F" w:rsidRPr="00820AF8" w:rsidTr="00820AF8">
        <w:tc>
          <w:tcPr>
            <w:tcW w:w="4270" w:type="dxa"/>
            <w:gridSpan w:val="5"/>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Taxes on the use of goods and performance of activities</w:t>
            </w:r>
          </w:p>
        </w:tc>
        <w:tc>
          <w:tcPr>
            <w:tcW w:w="272"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236"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 xml:space="preserve">  Motor vehicle taxes</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sz w:val="18"/>
                <w:lang w:eastAsia="en-AU"/>
              </w:rPr>
            </w:pPr>
            <w:r w:rsidRPr="00820AF8">
              <w:rPr>
                <w:rFonts w:eastAsiaTheme="minorEastAsia"/>
                <w:b/>
                <w:bCs/>
                <w:sz w:val="18"/>
                <w:lang w:eastAsia="en-AU"/>
              </w:rPr>
              <w:t xml:space="preserve"> </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Vehicle registration fees</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1 239.7</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1 223.1</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1 294.3</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1 358.7</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1 426.8</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sz w:val="18"/>
                <w:lang w:eastAsia="en-AU"/>
              </w:rPr>
            </w:pPr>
            <w:r w:rsidRPr="00820AF8">
              <w:rPr>
                <w:rFonts w:eastAsiaTheme="minorEastAsia"/>
                <w:sz w:val="18"/>
                <w:lang w:eastAsia="en-AU"/>
              </w:rPr>
              <w:t xml:space="preserve">  Duty on vehicle registrations and transfers</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661.1</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654.6</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674.4</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694.6</w:t>
            </w:r>
          </w:p>
        </w:tc>
        <w:tc>
          <w:tcPr>
            <w:tcW w:w="994" w:type="dxa"/>
            <w:tcBorders>
              <w:top w:val="nil"/>
              <w:left w:val="nil"/>
              <w:bottom w:val="nil"/>
              <w:right w:val="nil"/>
            </w:tcBorders>
          </w:tcPr>
          <w:p w:rsidR="00F60B5F" w:rsidRPr="00820AF8" w:rsidRDefault="00F60B5F" w:rsidP="00820AF8">
            <w:pPr>
              <w:pStyle w:val="TableofFigures"/>
              <w:rPr>
                <w:rFonts w:eastAsiaTheme="minorEastAsia"/>
                <w:sz w:val="18"/>
                <w:szCs w:val="22"/>
                <w:lang w:eastAsia="en-AU"/>
              </w:rPr>
            </w:pPr>
            <w:r w:rsidRPr="00820AF8">
              <w:rPr>
                <w:rFonts w:eastAsiaTheme="minorEastAsia"/>
                <w:sz w:val="18"/>
                <w:szCs w:val="22"/>
                <w:lang w:eastAsia="en-AU"/>
              </w:rPr>
              <w:t xml:space="preserve"> 715.7</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Total motor vehicle taxes</w:t>
            </w:r>
          </w:p>
        </w:tc>
        <w:tc>
          <w:tcPr>
            <w:tcW w:w="994" w:type="dxa"/>
            <w:gridSpan w:val="2"/>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1 900.8</w:t>
            </w:r>
          </w:p>
        </w:tc>
        <w:tc>
          <w:tcPr>
            <w:tcW w:w="994" w:type="dxa"/>
            <w:gridSpan w:val="4"/>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1 877.7</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1 968.7</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2 053.3</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2 142.5</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Liquor license fees</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23.5</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23.1</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22.4</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21.8</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22.4</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Other</w:t>
            </w:r>
          </w:p>
        </w:tc>
        <w:tc>
          <w:tcPr>
            <w:tcW w:w="994" w:type="dxa"/>
            <w:gridSpan w:val="2"/>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270.6</w:t>
            </w:r>
          </w:p>
        </w:tc>
        <w:tc>
          <w:tcPr>
            <w:tcW w:w="994" w:type="dxa"/>
            <w:gridSpan w:val="4"/>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270.5</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280.8</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281.2</w:t>
            </w:r>
          </w:p>
        </w:tc>
        <w:tc>
          <w:tcPr>
            <w:tcW w:w="994" w:type="dxa"/>
            <w:tcBorders>
              <w:top w:val="nil"/>
              <w:left w:val="nil"/>
              <w:bottom w:val="nil"/>
              <w:right w:val="nil"/>
            </w:tcBorders>
          </w:tcPr>
          <w:p w:rsidR="00F60B5F" w:rsidRPr="00820AF8" w:rsidRDefault="00F60B5F" w:rsidP="00820AF8">
            <w:pPr>
              <w:pStyle w:val="TableofFigures"/>
              <w:rPr>
                <w:rFonts w:eastAsiaTheme="minorEastAsia"/>
                <w:b/>
                <w:sz w:val="18"/>
                <w:szCs w:val="22"/>
                <w:lang w:eastAsia="en-AU"/>
              </w:rPr>
            </w:pPr>
            <w:r w:rsidRPr="00820AF8">
              <w:rPr>
                <w:rFonts w:eastAsiaTheme="minorEastAsia"/>
                <w:b/>
                <w:sz w:val="18"/>
                <w:szCs w:val="22"/>
                <w:lang w:eastAsia="en-AU"/>
              </w:rPr>
              <w:t xml:space="preserve"> 281.7</w:t>
            </w:r>
          </w:p>
        </w:tc>
      </w:tr>
      <w:tr w:rsidR="00F60B5F" w:rsidRPr="00820AF8" w:rsidTr="00820AF8">
        <w:tc>
          <w:tcPr>
            <w:tcW w:w="2790"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Total taxes on the use of goods and performance of activities</w:t>
            </w:r>
          </w:p>
        </w:tc>
        <w:tc>
          <w:tcPr>
            <w:tcW w:w="994" w:type="dxa"/>
            <w:gridSpan w:val="2"/>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2 194.8</w:t>
            </w:r>
          </w:p>
        </w:tc>
        <w:tc>
          <w:tcPr>
            <w:tcW w:w="994" w:type="dxa"/>
            <w:gridSpan w:val="4"/>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2 171.4</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2 272.0</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2 356.3</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2 446.7</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sz w:val="18"/>
                <w:lang w:eastAsia="en-AU"/>
              </w:rPr>
            </w:pPr>
            <w:r w:rsidRPr="00820AF8">
              <w:rPr>
                <w:rFonts w:eastAsiaTheme="minorEastAsia"/>
                <w:b/>
                <w:bCs/>
                <w:sz w:val="18"/>
                <w:lang w:eastAsia="en-AU"/>
              </w:rPr>
              <w:t>Total taxation revenue</w:t>
            </w:r>
          </w:p>
        </w:tc>
        <w:tc>
          <w:tcPr>
            <w:tcW w:w="994" w:type="dxa"/>
            <w:gridSpan w:val="2"/>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16 454.4</w:t>
            </w:r>
          </w:p>
        </w:tc>
        <w:tc>
          <w:tcPr>
            <w:tcW w:w="994" w:type="dxa"/>
            <w:gridSpan w:val="4"/>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16 495.4</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17 641.0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18 402.9</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8"/>
                <w:szCs w:val="22"/>
                <w:lang w:eastAsia="en-AU"/>
              </w:rPr>
            </w:pPr>
            <w:r w:rsidRPr="00820AF8">
              <w:rPr>
                <w:rFonts w:eastAsiaTheme="minorEastAsia"/>
                <w:b/>
                <w:bCs/>
                <w:sz w:val="18"/>
                <w:szCs w:val="22"/>
                <w:lang w:eastAsia="en-AU"/>
              </w:rPr>
              <w:t>19 340.9</w:t>
            </w:r>
          </w:p>
        </w:tc>
      </w:tr>
    </w:tbl>
    <w:p w:rsidR="00F60B5F" w:rsidRPr="00B56B1C" w:rsidRDefault="00F60B5F" w:rsidP="005C19CE">
      <w:pPr>
        <w:pStyle w:val="Notes"/>
      </w:pPr>
      <w:r w:rsidRPr="00B56B1C">
        <w:t>Note:</w:t>
      </w:r>
    </w:p>
    <w:p w:rsidR="00F60B5F" w:rsidRPr="00B56B1C" w:rsidRDefault="00F60B5F" w:rsidP="0012563D">
      <w:pPr>
        <w:pStyle w:val="Notes"/>
      </w:pPr>
      <w:r w:rsidRPr="00B56B1C">
        <w:t>(a)</w:t>
      </w:r>
      <w:r w:rsidRPr="00B56B1C">
        <w:tab/>
        <w:t>The existing environmental levy payable by water authorities is not expected to continue beyond 2015</w:t>
      </w:r>
      <w:r>
        <w:noBreakHyphen/>
      </w:r>
      <w:r w:rsidRPr="00B56B1C">
        <w:t>16.</w:t>
      </w:r>
    </w:p>
    <w:p w:rsidR="00F60B5F" w:rsidRDefault="00F60B5F">
      <w:pPr>
        <w:spacing w:after="0"/>
        <w:rPr>
          <w:rFonts w:ascii="Calibri" w:hAnsi="Calibri"/>
          <w:b/>
          <w:kern w:val="28"/>
          <w:sz w:val="26"/>
          <w:szCs w:val="22"/>
        </w:rPr>
      </w:pPr>
      <w:r>
        <w:br w:type="page"/>
      </w:r>
    </w:p>
    <w:p w:rsidR="00F60B5F" w:rsidRPr="00B56B1C" w:rsidRDefault="00F60B5F" w:rsidP="00C54DC6">
      <w:pPr>
        <w:pStyle w:val="Heading2Notes"/>
      </w:pPr>
      <w:bookmarkStart w:id="28" w:name="_Toc373751809"/>
      <w:r w:rsidRPr="00B56B1C">
        <w:t>Note 3:</w:t>
      </w:r>
      <w:r w:rsidRPr="00B56B1C">
        <w:tab/>
        <w:t>Dividends and income tax equivalent and rate equivalent revenue</w:t>
      </w:r>
      <w:bookmarkEnd w:id="28"/>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szCs w:val="22"/>
                <w:lang w:eastAsia="en-AU"/>
              </w:rPr>
            </w:pPr>
            <w:r w:rsidRPr="00820AF8">
              <w:rPr>
                <w:rFonts w:eastAsiaTheme="minorEastAsia"/>
                <w:szCs w:val="22"/>
                <w:lang w:eastAsia="en-AU"/>
              </w:rPr>
              <w:t>Dividends</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449.4</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407.8</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375.8</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545.9</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485.8</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szCs w:val="22"/>
                <w:lang w:eastAsia="en-AU"/>
              </w:rPr>
            </w:pPr>
            <w:r w:rsidRPr="00820AF8">
              <w:rPr>
                <w:rFonts w:eastAsiaTheme="minorEastAsia"/>
                <w:szCs w:val="22"/>
                <w:lang w:eastAsia="en-AU"/>
              </w:rPr>
              <w:t>Income tax equivalent</w:t>
            </w:r>
          </w:p>
        </w:tc>
        <w:tc>
          <w:tcPr>
            <w:tcW w:w="994" w:type="dxa"/>
            <w:tcBorders>
              <w:top w:val="nil"/>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216.8</w:t>
            </w:r>
          </w:p>
        </w:tc>
        <w:tc>
          <w:tcPr>
            <w:tcW w:w="994" w:type="dxa"/>
            <w:tcBorders>
              <w:top w:val="nil"/>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156.7</w:t>
            </w:r>
          </w:p>
        </w:tc>
        <w:tc>
          <w:tcPr>
            <w:tcW w:w="994" w:type="dxa"/>
            <w:tcBorders>
              <w:top w:val="nil"/>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183.3</w:t>
            </w:r>
          </w:p>
        </w:tc>
        <w:tc>
          <w:tcPr>
            <w:tcW w:w="994" w:type="dxa"/>
            <w:tcBorders>
              <w:top w:val="nil"/>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198.0</w:t>
            </w:r>
          </w:p>
        </w:tc>
        <w:tc>
          <w:tcPr>
            <w:tcW w:w="994" w:type="dxa"/>
            <w:tcBorders>
              <w:top w:val="nil"/>
              <w:left w:val="nil"/>
              <w:bottom w:val="nil"/>
              <w:right w:val="nil"/>
            </w:tcBorders>
          </w:tcPr>
          <w:p w:rsidR="00F60B5F" w:rsidRPr="00820AF8" w:rsidRDefault="00F60B5F" w:rsidP="00820AF8">
            <w:pPr>
              <w:pStyle w:val="TableofFigures"/>
              <w:rPr>
                <w:rFonts w:eastAsiaTheme="minorEastAsia"/>
                <w:bCs/>
                <w:szCs w:val="22"/>
                <w:lang w:eastAsia="en-AU"/>
              </w:rPr>
            </w:pPr>
            <w:r w:rsidRPr="00820AF8">
              <w:rPr>
                <w:rFonts w:eastAsiaTheme="minorEastAsia"/>
                <w:bCs/>
                <w:szCs w:val="22"/>
                <w:lang w:eastAsia="en-AU"/>
              </w:rPr>
              <w:t xml:space="preserve"> 193.8</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szCs w:val="22"/>
                <w:lang w:eastAsia="en-AU"/>
              </w:rPr>
            </w:pPr>
            <w:r w:rsidRPr="00820AF8">
              <w:rPr>
                <w:rFonts w:eastAsiaTheme="minorEastAsia"/>
                <w:szCs w:val="22"/>
                <w:lang w:eastAsia="en-AU"/>
              </w:rPr>
              <w:t>Local government rate equivalent revenue</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5.3</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5.5</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5.7</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6.0</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6.2</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szCs w:val="22"/>
                <w:lang w:eastAsia="en-AU"/>
              </w:rPr>
            </w:pPr>
            <w:r w:rsidRPr="00820AF8">
              <w:rPr>
                <w:rFonts w:eastAsiaTheme="minorEastAsia"/>
                <w:b/>
                <w:bCs/>
                <w:szCs w:val="22"/>
                <w:lang w:eastAsia="en-AU"/>
              </w:rPr>
              <w:t>Total dividends and income tax equivalent and rate equivalent revenue</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xml:space="preserve"> 671.5</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xml:space="preserve"> 570.0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xml:space="preserve"> 564.9</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xml:space="preserve"> 749.8</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xml:space="preserve"> 685.9</w:t>
            </w:r>
          </w:p>
        </w:tc>
      </w:tr>
    </w:tbl>
    <w:p w:rsidR="00F60B5F" w:rsidRPr="00B56B1C" w:rsidRDefault="00F60B5F" w:rsidP="00172054"/>
    <w:p w:rsidR="00F60B5F" w:rsidRPr="00B56B1C" w:rsidRDefault="00F60B5F" w:rsidP="00172054"/>
    <w:p w:rsidR="00F60B5F" w:rsidRPr="00B56B1C" w:rsidRDefault="00F60B5F" w:rsidP="00C54DC6">
      <w:pPr>
        <w:pStyle w:val="Heading2Notes"/>
      </w:pPr>
      <w:bookmarkStart w:id="29" w:name="_Toc373751810"/>
      <w:r w:rsidRPr="00B56B1C">
        <w:t>Note 4:</w:t>
      </w:r>
      <w:r w:rsidRPr="00B56B1C">
        <w:tab/>
        <w:t>Sale of goods and services</w:t>
      </w:r>
      <w:bookmarkEnd w:id="29"/>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2013</w:t>
            </w:r>
            <w:r>
              <w:rPr>
                <w:rFonts w:eastAsiaTheme="minorEastAsia"/>
                <w:color w:val="FFFFFF"/>
                <w:lang w:eastAsia="en-AU"/>
              </w:rPr>
              <w:noBreakHyphen/>
            </w:r>
            <w:r w:rsidRPr="00820AF8">
              <w:rPr>
                <w:rFonts w:eastAsiaTheme="minorEastAsia"/>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2013</w:t>
            </w:r>
            <w:r>
              <w:rPr>
                <w:rFonts w:eastAsiaTheme="minorEastAsia"/>
                <w:color w:val="FFFFFF"/>
                <w:lang w:eastAsia="en-AU"/>
              </w:rPr>
              <w:noBreakHyphen/>
            </w:r>
            <w:r w:rsidRPr="00820AF8">
              <w:rPr>
                <w:rFonts w:eastAsiaTheme="minorEastAsia"/>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2014</w:t>
            </w:r>
            <w:r>
              <w:rPr>
                <w:rFonts w:eastAsiaTheme="minorEastAsia"/>
                <w:color w:val="FFFFFF"/>
                <w:lang w:eastAsia="en-AU"/>
              </w:rPr>
              <w:noBreakHyphen/>
            </w:r>
            <w:r w:rsidRPr="00820AF8">
              <w:rPr>
                <w:rFonts w:eastAsiaTheme="minorEastAsia"/>
                <w:color w:val="FFFFFF"/>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2015</w:t>
            </w:r>
            <w:r>
              <w:rPr>
                <w:rFonts w:eastAsiaTheme="minorEastAsia"/>
                <w:color w:val="FFFFFF"/>
                <w:lang w:eastAsia="en-AU"/>
              </w:rPr>
              <w:noBreakHyphen/>
            </w:r>
            <w:r w:rsidRPr="00820AF8">
              <w:rPr>
                <w:rFonts w:eastAsiaTheme="minorEastAsia"/>
                <w:color w:val="FFFFFF"/>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2016</w:t>
            </w:r>
            <w:r>
              <w:rPr>
                <w:rFonts w:eastAsiaTheme="minorEastAsia"/>
                <w:color w:val="FFFFFF"/>
                <w:lang w:eastAsia="en-AU"/>
              </w:rPr>
              <w:noBreakHyphen/>
            </w:r>
            <w:r w:rsidRPr="00820AF8">
              <w:rPr>
                <w:rFonts w:eastAsiaTheme="minorEastAsia"/>
                <w:color w:val="FFFFFF"/>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Motor vehicle regulatory fees</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227.3</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229.9</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217.9</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215.1</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199.5</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 regulatory fees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402.3</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465.7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434.1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445.1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460.6</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Sale of goods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108.4</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91.6</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93.9</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95.0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94.1</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Provision of services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4 565.1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4 287.7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4 127.5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4 280.0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4 330.3</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Rental</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53.7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53.6</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53.7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53.9</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54.0</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Refunds and reimbursements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68.3</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68.3</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69.7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71.2</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71.2</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Inter</w:t>
            </w:r>
            <w:r>
              <w:rPr>
                <w:rFonts w:eastAsiaTheme="minorEastAsia"/>
                <w:lang w:eastAsia="en-AU"/>
              </w:rPr>
              <w:noBreakHyphen/>
            </w:r>
            <w:r w:rsidRPr="00820AF8">
              <w:rPr>
                <w:rFonts w:eastAsiaTheme="minorEastAsia"/>
                <w:lang w:eastAsia="en-AU"/>
              </w:rPr>
              <w:t>sector capital asset charge</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1 524.4</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1 524.4</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1 629.9</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1 689.5</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1 687.4</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sales of goods and services</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6 949.5</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6 721.2</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6 626.7</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6 849.8</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6 897.0</w:t>
            </w:r>
          </w:p>
        </w:tc>
      </w:tr>
    </w:tbl>
    <w:p w:rsidR="00F60B5F" w:rsidRPr="00B56B1C" w:rsidRDefault="00F60B5F" w:rsidP="00172054"/>
    <w:p w:rsidR="00F60B5F" w:rsidRPr="00B56B1C" w:rsidRDefault="00F60B5F">
      <w:pPr>
        <w:spacing w:after="0"/>
        <w:rPr>
          <w:rFonts w:ascii="Calibri" w:hAnsi="Calibri"/>
          <w:b/>
          <w:kern w:val="28"/>
          <w:sz w:val="26"/>
          <w:szCs w:val="22"/>
        </w:rPr>
      </w:pPr>
      <w:r w:rsidRPr="00B56B1C">
        <w:br w:type="page"/>
      </w:r>
    </w:p>
    <w:p w:rsidR="00F60B5F" w:rsidRPr="00B56B1C" w:rsidRDefault="00F60B5F" w:rsidP="00C54DC6">
      <w:pPr>
        <w:pStyle w:val="Heading2Notes"/>
      </w:pPr>
      <w:bookmarkStart w:id="30" w:name="_Toc373751811"/>
      <w:r w:rsidRPr="00B56B1C">
        <w:t>Note 5:</w:t>
      </w:r>
      <w:r w:rsidRPr="00B56B1C">
        <w:tab/>
        <w:t>Grants</w:t>
      </w:r>
      <w:bookmarkEnd w:id="30"/>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General purpose grants</w:t>
            </w:r>
            <w:r>
              <w:rPr>
                <w:rFonts w:eastAsiaTheme="minorEastAsia"/>
                <w:lang w:eastAsia="en-AU"/>
              </w:rPr>
              <w:t xml:space="preserve"> – </w:t>
            </w:r>
            <w:r w:rsidRPr="00820AF8">
              <w:rPr>
                <w:rFonts w:eastAsiaTheme="minorEastAsia"/>
                <w:lang w:eastAsia="en-AU"/>
              </w:rPr>
              <w:t>goods and services tax</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11 297.2</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11 442.7</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11 906.5</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12 758.4</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13 778.3</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Specific purpose grants for on</w:t>
            </w:r>
            <w:r>
              <w:rPr>
                <w:rFonts w:eastAsiaTheme="minorEastAsia"/>
                <w:lang w:eastAsia="en-AU"/>
              </w:rPr>
              <w:noBreakHyphen/>
            </w:r>
            <w:r w:rsidRPr="00820AF8">
              <w:rPr>
                <w:rFonts w:eastAsiaTheme="minorEastAsia"/>
                <w:lang w:eastAsia="en-AU"/>
              </w:rPr>
              <w:t>passing</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2 977.9</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2 712.8</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3 096.5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3 312.3</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3 516.3</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cs="Calibri"/>
                <w:lang w:eastAsia="en-AU"/>
              </w:rPr>
            </w:pPr>
            <w:r w:rsidRPr="00820AF8">
              <w:rPr>
                <w:rFonts w:eastAsiaTheme="minorEastAsia"/>
                <w:lang w:eastAsia="en-AU"/>
              </w:rPr>
              <w:t xml:space="preserve">Other grants for specific </w:t>
            </w:r>
            <w:r w:rsidRPr="00820AF8">
              <w:rPr>
                <w:rFonts w:eastAsiaTheme="minorEastAsia" w:cs="Calibri"/>
                <w:lang w:eastAsia="en-AU"/>
              </w:rPr>
              <w:t>purposes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8 904.6</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8 972.5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9 145.3</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8 633.4</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8 759.7</w:t>
            </w:r>
          </w:p>
        </w:tc>
      </w:tr>
      <w:tr w:rsidR="00F60B5F" w:rsidRPr="00820AF8" w:rsidTr="00820AF8">
        <w:tc>
          <w:tcPr>
            <w:tcW w:w="2790" w:type="dxa"/>
            <w:tcBorders>
              <w:top w:val="single" w:sz="6" w:space="0" w:color="auto"/>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23 179.8</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23 128.0</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24 148.4</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24 704.1</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26 054.4</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 contributions and grants</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130.7</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123.7</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119.6</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114.9</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112.1</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grants</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23 310.5</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23 251.8</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24 268.0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24 819.0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26 166.4</w:t>
            </w:r>
          </w:p>
        </w:tc>
      </w:tr>
    </w:tbl>
    <w:p w:rsidR="00F60B5F" w:rsidRDefault="00F60B5F" w:rsidP="004B55EB">
      <w:pPr>
        <w:pStyle w:val="Notes"/>
      </w:pPr>
    </w:p>
    <w:p w:rsidR="00F60B5F" w:rsidRDefault="00F60B5F" w:rsidP="006F65E0"/>
    <w:p w:rsidR="00F60B5F" w:rsidRPr="00B56B1C" w:rsidRDefault="00F60B5F" w:rsidP="006F65E0"/>
    <w:p w:rsidR="00F60B5F" w:rsidRPr="00B56B1C" w:rsidRDefault="00F60B5F" w:rsidP="00C54DC6">
      <w:pPr>
        <w:pStyle w:val="Heading2Notes"/>
      </w:pPr>
      <w:bookmarkStart w:id="31" w:name="_Toc373751812"/>
      <w:r w:rsidRPr="00B56B1C">
        <w:t>Note 6:</w:t>
      </w:r>
      <w:r w:rsidRPr="00B56B1C">
        <w:tab/>
        <w:t>Other revenue</w:t>
      </w:r>
      <w:bookmarkEnd w:id="31"/>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3077"/>
        <w:gridCol w:w="936"/>
        <w:gridCol w:w="937"/>
        <w:gridCol w:w="936"/>
        <w:gridCol w:w="937"/>
        <w:gridCol w:w="937"/>
      </w:tblGrid>
      <w:tr w:rsidR="00F60B5F" w:rsidRPr="006C59E4" w:rsidTr="006C59E4">
        <w:tc>
          <w:tcPr>
            <w:tcW w:w="3077" w:type="dxa"/>
            <w:tcBorders>
              <w:top w:val="single" w:sz="6" w:space="0" w:color="000000"/>
              <w:left w:val="single" w:sz="6" w:space="0" w:color="000000"/>
              <w:bottom w:val="nil"/>
              <w:right w:val="nil"/>
            </w:tcBorders>
            <w:shd w:val="clear" w:color="000000" w:fill="000000"/>
          </w:tcPr>
          <w:p w:rsidR="00F60B5F" w:rsidRPr="006C59E4" w:rsidRDefault="00F60B5F" w:rsidP="00820AF8">
            <w:pPr>
              <w:pStyle w:val="Tabletextheading"/>
              <w:rPr>
                <w:rFonts w:eastAsiaTheme="minorEastAsia"/>
                <w:color w:val="FFFFFF"/>
                <w:sz w:val="19"/>
                <w:lang w:eastAsia="en-AU"/>
              </w:rPr>
            </w:pPr>
            <w:r w:rsidRPr="006C59E4">
              <w:rPr>
                <w:rFonts w:eastAsiaTheme="minorEastAsia"/>
                <w:color w:val="FFFFFF"/>
                <w:sz w:val="19"/>
                <w:lang w:eastAsia="en-AU"/>
              </w:rPr>
              <w:t xml:space="preserve"> </w:t>
            </w:r>
          </w:p>
        </w:tc>
        <w:tc>
          <w:tcPr>
            <w:tcW w:w="936" w:type="dxa"/>
            <w:tcBorders>
              <w:top w:val="single" w:sz="6" w:space="0" w:color="000000"/>
              <w:left w:val="nil"/>
              <w:bottom w:val="nil"/>
              <w:right w:val="nil"/>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2013</w:t>
            </w:r>
            <w:r>
              <w:rPr>
                <w:rFonts w:eastAsiaTheme="minorEastAsia"/>
                <w:iCs/>
                <w:color w:val="FFFFFF"/>
                <w:sz w:val="19"/>
                <w:lang w:eastAsia="en-AU"/>
              </w:rPr>
              <w:noBreakHyphen/>
            </w:r>
            <w:r w:rsidRPr="006C59E4">
              <w:rPr>
                <w:rFonts w:eastAsiaTheme="minorEastAsia"/>
                <w:iCs/>
                <w:color w:val="FFFFFF"/>
                <w:sz w:val="19"/>
                <w:lang w:eastAsia="en-AU"/>
              </w:rPr>
              <w:t>14</w:t>
            </w:r>
          </w:p>
        </w:tc>
        <w:tc>
          <w:tcPr>
            <w:tcW w:w="937" w:type="dxa"/>
            <w:tcBorders>
              <w:top w:val="single" w:sz="6" w:space="0" w:color="000000"/>
              <w:left w:val="nil"/>
              <w:bottom w:val="nil"/>
              <w:right w:val="nil"/>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2013</w:t>
            </w:r>
            <w:r>
              <w:rPr>
                <w:rFonts w:eastAsiaTheme="minorEastAsia"/>
                <w:iCs/>
                <w:color w:val="FFFFFF"/>
                <w:sz w:val="19"/>
                <w:lang w:eastAsia="en-AU"/>
              </w:rPr>
              <w:noBreakHyphen/>
            </w:r>
            <w:r w:rsidRPr="006C59E4">
              <w:rPr>
                <w:rFonts w:eastAsiaTheme="minorEastAsia"/>
                <w:iCs/>
                <w:color w:val="FFFFFF"/>
                <w:sz w:val="19"/>
                <w:lang w:eastAsia="en-AU"/>
              </w:rPr>
              <w:t>14</w:t>
            </w:r>
          </w:p>
        </w:tc>
        <w:tc>
          <w:tcPr>
            <w:tcW w:w="936" w:type="dxa"/>
            <w:tcBorders>
              <w:top w:val="single" w:sz="6" w:space="0" w:color="000000"/>
              <w:left w:val="nil"/>
              <w:bottom w:val="nil"/>
              <w:right w:val="nil"/>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2014</w:t>
            </w:r>
            <w:r>
              <w:rPr>
                <w:rFonts w:eastAsiaTheme="minorEastAsia"/>
                <w:iCs/>
                <w:color w:val="FFFFFF"/>
                <w:sz w:val="19"/>
                <w:lang w:eastAsia="en-AU"/>
              </w:rPr>
              <w:noBreakHyphen/>
            </w:r>
            <w:r w:rsidRPr="006C59E4">
              <w:rPr>
                <w:rFonts w:eastAsiaTheme="minorEastAsia"/>
                <w:iCs/>
                <w:color w:val="FFFFFF"/>
                <w:sz w:val="19"/>
                <w:lang w:eastAsia="en-AU"/>
              </w:rPr>
              <w:t>15</w:t>
            </w:r>
          </w:p>
        </w:tc>
        <w:tc>
          <w:tcPr>
            <w:tcW w:w="937" w:type="dxa"/>
            <w:tcBorders>
              <w:top w:val="single" w:sz="6" w:space="0" w:color="000000"/>
              <w:left w:val="nil"/>
              <w:bottom w:val="nil"/>
              <w:right w:val="nil"/>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2015</w:t>
            </w:r>
            <w:r>
              <w:rPr>
                <w:rFonts w:eastAsiaTheme="minorEastAsia"/>
                <w:iCs/>
                <w:color w:val="FFFFFF"/>
                <w:sz w:val="19"/>
                <w:lang w:eastAsia="en-AU"/>
              </w:rPr>
              <w:noBreakHyphen/>
            </w:r>
            <w:r w:rsidRPr="006C59E4">
              <w:rPr>
                <w:rFonts w:eastAsiaTheme="minorEastAsia"/>
                <w:iCs/>
                <w:color w:val="FFFFFF"/>
                <w:sz w:val="19"/>
                <w:lang w:eastAsia="en-AU"/>
              </w:rPr>
              <w:t>16</w:t>
            </w:r>
          </w:p>
        </w:tc>
        <w:tc>
          <w:tcPr>
            <w:tcW w:w="937" w:type="dxa"/>
            <w:tcBorders>
              <w:top w:val="single" w:sz="6" w:space="0" w:color="000000"/>
              <w:left w:val="nil"/>
              <w:bottom w:val="nil"/>
              <w:right w:val="single" w:sz="6" w:space="0" w:color="000000"/>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2016</w:t>
            </w:r>
            <w:r>
              <w:rPr>
                <w:rFonts w:eastAsiaTheme="minorEastAsia"/>
                <w:iCs/>
                <w:color w:val="FFFFFF"/>
                <w:sz w:val="19"/>
                <w:lang w:eastAsia="en-AU"/>
              </w:rPr>
              <w:noBreakHyphen/>
            </w:r>
            <w:r w:rsidRPr="006C59E4">
              <w:rPr>
                <w:rFonts w:eastAsiaTheme="minorEastAsia"/>
                <w:iCs/>
                <w:color w:val="FFFFFF"/>
                <w:sz w:val="19"/>
                <w:lang w:eastAsia="en-AU"/>
              </w:rPr>
              <w:t>17</w:t>
            </w:r>
          </w:p>
        </w:tc>
      </w:tr>
      <w:tr w:rsidR="00F60B5F" w:rsidRPr="006C59E4" w:rsidTr="006C59E4">
        <w:tc>
          <w:tcPr>
            <w:tcW w:w="3077" w:type="dxa"/>
            <w:tcBorders>
              <w:top w:val="nil"/>
              <w:left w:val="single" w:sz="6" w:space="0" w:color="000000"/>
              <w:bottom w:val="single" w:sz="6" w:space="0" w:color="000000"/>
              <w:right w:val="nil"/>
            </w:tcBorders>
            <w:shd w:val="clear" w:color="000000" w:fill="000000"/>
          </w:tcPr>
          <w:p w:rsidR="00F60B5F" w:rsidRPr="006C59E4" w:rsidRDefault="00F60B5F" w:rsidP="00820AF8">
            <w:pPr>
              <w:pStyle w:val="Tabletextheading"/>
              <w:rPr>
                <w:rFonts w:eastAsiaTheme="minorEastAsia"/>
                <w:color w:val="FFFFFF"/>
                <w:sz w:val="19"/>
                <w:lang w:eastAsia="en-AU"/>
              </w:rPr>
            </w:pPr>
            <w:r w:rsidRPr="006C59E4">
              <w:rPr>
                <w:rFonts w:eastAsiaTheme="minorEastAsia"/>
                <w:color w:val="FFFFFF"/>
                <w:sz w:val="19"/>
                <w:lang w:eastAsia="en-AU"/>
              </w:rPr>
              <w:t xml:space="preserve"> </w:t>
            </w:r>
          </w:p>
        </w:tc>
        <w:tc>
          <w:tcPr>
            <w:tcW w:w="936" w:type="dxa"/>
            <w:tcBorders>
              <w:top w:val="nil"/>
              <w:left w:val="nil"/>
              <w:bottom w:val="single" w:sz="6" w:space="0" w:color="000000"/>
              <w:right w:val="nil"/>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Budget</w:t>
            </w:r>
          </w:p>
        </w:tc>
        <w:tc>
          <w:tcPr>
            <w:tcW w:w="937" w:type="dxa"/>
            <w:tcBorders>
              <w:top w:val="nil"/>
              <w:left w:val="nil"/>
              <w:bottom w:val="single" w:sz="6" w:space="0" w:color="000000"/>
              <w:right w:val="nil"/>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Revised</w:t>
            </w:r>
          </w:p>
        </w:tc>
        <w:tc>
          <w:tcPr>
            <w:tcW w:w="936" w:type="dxa"/>
            <w:tcBorders>
              <w:top w:val="nil"/>
              <w:left w:val="nil"/>
              <w:bottom w:val="single" w:sz="6" w:space="0" w:color="000000"/>
              <w:right w:val="nil"/>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Estimate</w:t>
            </w:r>
          </w:p>
        </w:tc>
        <w:tc>
          <w:tcPr>
            <w:tcW w:w="937" w:type="dxa"/>
            <w:tcBorders>
              <w:top w:val="nil"/>
              <w:left w:val="nil"/>
              <w:bottom w:val="single" w:sz="6" w:space="0" w:color="000000"/>
              <w:right w:val="nil"/>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Estimate</w:t>
            </w:r>
          </w:p>
        </w:tc>
        <w:tc>
          <w:tcPr>
            <w:tcW w:w="937" w:type="dxa"/>
            <w:tcBorders>
              <w:top w:val="nil"/>
              <w:left w:val="nil"/>
              <w:bottom w:val="single" w:sz="6" w:space="0" w:color="000000"/>
              <w:right w:val="single" w:sz="6" w:space="0" w:color="000000"/>
            </w:tcBorders>
            <w:shd w:val="clear" w:color="000000" w:fill="000000"/>
          </w:tcPr>
          <w:p w:rsidR="00F60B5F" w:rsidRPr="006C59E4" w:rsidRDefault="00F60B5F" w:rsidP="00820AF8">
            <w:pPr>
              <w:pStyle w:val="Tabletextheading"/>
              <w:rPr>
                <w:rFonts w:eastAsiaTheme="minorEastAsia"/>
                <w:iCs/>
                <w:color w:val="FFFFFF"/>
                <w:sz w:val="19"/>
                <w:lang w:eastAsia="en-AU"/>
              </w:rPr>
            </w:pPr>
            <w:r w:rsidRPr="006C59E4">
              <w:rPr>
                <w:rFonts w:eastAsiaTheme="minorEastAsia"/>
                <w:iCs/>
                <w:color w:val="FFFFFF"/>
                <w:sz w:val="19"/>
                <w:lang w:eastAsia="en-AU"/>
              </w:rPr>
              <w:t>Estimate</w:t>
            </w:r>
          </w:p>
        </w:tc>
      </w:tr>
      <w:tr w:rsidR="00F60B5F" w:rsidRPr="006C59E4" w:rsidTr="006C59E4">
        <w:tc>
          <w:tcPr>
            <w:tcW w:w="3077" w:type="dxa"/>
            <w:tcBorders>
              <w:top w:val="single" w:sz="6" w:space="0" w:color="000000"/>
              <w:left w:val="nil"/>
              <w:bottom w:val="nil"/>
              <w:right w:val="nil"/>
            </w:tcBorders>
          </w:tcPr>
          <w:p w:rsidR="00F60B5F" w:rsidRPr="006C59E4" w:rsidRDefault="00F60B5F" w:rsidP="00820AF8">
            <w:pPr>
              <w:pStyle w:val="Tabletext"/>
              <w:rPr>
                <w:rFonts w:eastAsiaTheme="minorEastAsia"/>
                <w:sz w:val="19"/>
                <w:lang w:eastAsia="en-AU"/>
              </w:rPr>
            </w:pPr>
            <w:r w:rsidRPr="006C59E4">
              <w:rPr>
                <w:rFonts w:eastAsiaTheme="minorEastAsia"/>
                <w:sz w:val="19"/>
                <w:lang w:eastAsia="en-AU"/>
              </w:rPr>
              <w:t>Fair value of assets received free of charge or for nominal consideration</w:t>
            </w:r>
          </w:p>
        </w:tc>
        <w:tc>
          <w:tcPr>
            <w:tcW w:w="936"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1.8</w:t>
            </w:r>
          </w:p>
        </w:tc>
        <w:tc>
          <w:tcPr>
            <w:tcW w:w="937"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5.5</w:t>
            </w:r>
          </w:p>
        </w:tc>
        <w:tc>
          <w:tcPr>
            <w:tcW w:w="936"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1.8</w:t>
            </w:r>
          </w:p>
        </w:tc>
        <w:tc>
          <w:tcPr>
            <w:tcW w:w="937"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1.7</w:t>
            </w:r>
          </w:p>
        </w:tc>
        <w:tc>
          <w:tcPr>
            <w:tcW w:w="937"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1.9</w:t>
            </w:r>
          </w:p>
        </w:tc>
      </w:tr>
      <w:tr w:rsidR="00F60B5F" w:rsidRPr="006C59E4" w:rsidTr="006C59E4">
        <w:tc>
          <w:tcPr>
            <w:tcW w:w="3077" w:type="dxa"/>
            <w:tcBorders>
              <w:top w:val="nil"/>
              <w:left w:val="nil"/>
              <w:bottom w:val="nil"/>
              <w:right w:val="nil"/>
            </w:tcBorders>
          </w:tcPr>
          <w:p w:rsidR="00F60B5F" w:rsidRPr="006C59E4" w:rsidRDefault="00F60B5F" w:rsidP="00820AF8">
            <w:pPr>
              <w:pStyle w:val="Tabletext"/>
              <w:rPr>
                <w:rFonts w:eastAsiaTheme="minorEastAsia"/>
                <w:sz w:val="19"/>
                <w:lang w:eastAsia="en-AU"/>
              </w:rPr>
            </w:pPr>
            <w:r w:rsidRPr="006C59E4">
              <w:rPr>
                <w:rFonts w:eastAsiaTheme="minorEastAsia"/>
                <w:sz w:val="19"/>
                <w:lang w:eastAsia="en-AU"/>
              </w:rPr>
              <w:t>Fines</w:t>
            </w:r>
          </w:p>
        </w:tc>
        <w:tc>
          <w:tcPr>
            <w:tcW w:w="936"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714.9</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720.8</w:t>
            </w:r>
          </w:p>
        </w:tc>
        <w:tc>
          <w:tcPr>
            <w:tcW w:w="936"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771.7</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787.8</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804.0</w:t>
            </w:r>
          </w:p>
        </w:tc>
      </w:tr>
      <w:tr w:rsidR="00F60B5F" w:rsidRPr="006C59E4" w:rsidTr="006C59E4">
        <w:tc>
          <w:tcPr>
            <w:tcW w:w="3077" w:type="dxa"/>
            <w:tcBorders>
              <w:top w:val="nil"/>
              <w:left w:val="nil"/>
              <w:bottom w:val="nil"/>
              <w:right w:val="nil"/>
            </w:tcBorders>
          </w:tcPr>
          <w:p w:rsidR="00F60B5F" w:rsidRPr="006C59E4" w:rsidRDefault="00F60B5F" w:rsidP="00820AF8">
            <w:pPr>
              <w:pStyle w:val="Tabletext"/>
              <w:rPr>
                <w:rFonts w:eastAsiaTheme="minorEastAsia"/>
                <w:sz w:val="19"/>
                <w:lang w:eastAsia="en-AU"/>
              </w:rPr>
            </w:pPr>
            <w:r w:rsidRPr="006C59E4">
              <w:rPr>
                <w:rFonts w:eastAsiaTheme="minorEastAsia"/>
                <w:sz w:val="19"/>
                <w:lang w:eastAsia="en-AU"/>
              </w:rPr>
              <w:t>Royalties</w:t>
            </w:r>
          </w:p>
        </w:tc>
        <w:tc>
          <w:tcPr>
            <w:tcW w:w="936"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47.5</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47.5</w:t>
            </w:r>
          </w:p>
        </w:tc>
        <w:tc>
          <w:tcPr>
            <w:tcW w:w="936"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48.6</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49.8</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49.8</w:t>
            </w:r>
          </w:p>
        </w:tc>
      </w:tr>
      <w:tr w:rsidR="00F60B5F" w:rsidRPr="006C59E4" w:rsidTr="006C59E4">
        <w:tc>
          <w:tcPr>
            <w:tcW w:w="3077" w:type="dxa"/>
            <w:tcBorders>
              <w:top w:val="nil"/>
              <w:left w:val="nil"/>
              <w:bottom w:val="nil"/>
              <w:right w:val="nil"/>
            </w:tcBorders>
          </w:tcPr>
          <w:p w:rsidR="00F60B5F" w:rsidRPr="006C59E4" w:rsidRDefault="00F60B5F" w:rsidP="00820AF8">
            <w:pPr>
              <w:pStyle w:val="Tabletext"/>
              <w:rPr>
                <w:rFonts w:eastAsiaTheme="minorEastAsia"/>
                <w:sz w:val="19"/>
                <w:lang w:eastAsia="en-AU"/>
              </w:rPr>
            </w:pPr>
            <w:r w:rsidRPr="006C59E4">
              <w:rPr>
                <w:rFonts w:eastAsiaTheme="minorEastAsia"/>
                <w:sz w:val="19"/>
                <w:lang w:eastAsia="en-AU"/>
              </w:rPr>
              <w:t>Donations and gifts</w:t>
            </w:r>
          </w:p>
        </w:tc>
        <w:tc>
          <w:tcPr>
            <w:tcW w:w="936"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235.7</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247.8</w:t>
            </w:r>
          </w:p>
        </w:tc>
        <w:tc>
          <w:tcPr>
            <w:tcW w:w="936"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245.9</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260.2</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260.8</w:t>
            </w:r>
          </w:p>
        </w:tc>
      </w:tr>
      <w:tr w:rsidR="00F60B5F" w:rsidRPr="006C59E4" w:rsidTr="006C59E4">
        <w:tc>
          <w:tcPr>
            <w:tcW w:w="3077" w:type="dxa"/>
            <w:tcBorders>
              <w:top w:val="nil"/>
              <w:left w:val="nil"/>
              <w:bottom w:val="nil"/>
              <w:right w:val="nil"/>
            </w:tcBorders>
          </w:tcPr>
          <w:p w:rsidR="00F60B5F" w:rsidRPr="006C59E4" w:rsidRDefault="00F60B5F" w:rsidP="00820AF8">
            <w:pPr>
              <w:pStyle w:val="Tabletext"/>
              <w:rPr>
                <w:rFonts w:eastAsiaTheme="minorEastAsia"/>
                <w:sz w:val="19"/>
                <w:lang w:eastAsia="en-AU"/>
              </w:rPr>
            </w:pPr>
            <w:r w:rsidRPr="006C59E4">
              <w:rPr>
                <w:rFonts w:eastAsiaTheme="minorEastAsia"/>
                <w:sz w:val="19"/>
                <w:lang w:eastAsia="en-AU"/>
              </w:rPr>
              <w:t>Other non</w:t>
            </w:r>
            <w:r>
              <w:rPr>
                <w:rFonts w:eastAsiaTheme="minorEastAsia"/>
                <w:sz w:val="19"/>
                <w:lang w:eastAsia="en-AU"/>
              </w:rPr>
              <w:noBreakHyphen/>
            </w:r>
            <w:r w:rsidRPr="006C59E4">
              <w:rPr>
                <w:rFonts w:eastAsiaTheme="minorEastAsia"/>
                <w:sz w:val="19"/>
                <w:lang w:eastAsia="en-AU"/>
              </w:rPr>
              <w:t>property rental</w:t>
            </w:r>
          </w:p>
        </w:tc>
        <w:tc>
          <w:tcPr>
            <w:tcW w:w="936"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21.0</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22.3</w:t>
            </w:r>
          </w:p>
        </w:tc>
        <w:tc>
          <w:tcPr>
            <w:tcW w:w="936"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22.4</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22.5</w:t>
            </w:r>
          </w:p>
        </w:tc>
        <w:tc>
          <w:tcPr>
            <w:tcW w:w="937" w:type="dxa"/>
            <w:tcBorders>
              <w:top w:val="nil"/>
              <w:left w:val="nil"/>
              <w:bottom w:val="nil"/>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22.5</w:t>
            </w:r>
          </w:p>
        </w:tc>
      </w:tr>
      <w:tr w:rsidR="00F60B5F" w:rsidRPr="006C59E4" w:rsidTr="006C59E4">
        <w:tc>
          <w:tcPr>
            <w:tcW w:w="3077" w:type="dxa"/>
            <w:tcBorders>
              <w:top w:val="nil"/>
              <w:left w:val="nil"/>
              <w:bottom w:val="single" w:sz="6" w:space="0" w:color="auto"/>
              <w:right w:val="nil"/>
            </w:tcBorders>
          </w:tcPr>
          <w:p w:rsidR="00F60B5F" w:rsidRPr="006C59E4" w:rsidRDefault="00F60B5F" w:rsidP="00820AF8">
            <w:pPr>
              <w:pStyle w:val="Tabletext"/>
              <w:rPr>
                <w:rFonts w:eastAsiaTheme="minorEastAsia"/>
                <w:sz w:val="19"/>
                <w:lang w:eastAsia="en-AU"/>
              </w:rPr>
            </w:pPr>
            <w:r w:rsidRPr="006C59E4">
              <w:rPr>
                <w:rFonts w:eastAsiaTheme="minorEastAsia"/>
                <w:sz w:val="19"/>
                <w:lang w:eastAsia="en-AU"/>
              </w:rPr>
              <w:t>Other miscellaneous revenue</w:t>
            </w:r>
          </w:p>
        </w:tc>
        <w:tc>
          <w:tcPr>
            <w:tcW w:w="936" w:type="dxa"/>
            <w:tcBorders>
              <w:top w:val="nil"/>
              <w:left w:val="nil"/>
              <w:bottom w:val="single" w:sz="6" w:space="0" w:color="auto"/>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1 053.6</w:t>
            </w:r>
          </w:p>
        </w:tc>
        <w:tc>
          <w:tcPr>
            <w:tcW w:w="937" w:type="dxa"/>
            <w:tcBorders>
              <w:top w:val="nil"/>
              <w:left w:val="nil"/>
              <w:bottom w:val="single" w:sz="6" w:space="0" w:color="auto"/>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1 098.6</w:t>
            </w:r>
          </w:p>
        </w:tc>
        <w:tc>
          <w:tcPr>
            <w:tcW w:w="936" w:type="dxa"/>
            <w:tcBorders>
              <w:top w:val="nil"/>
              <w:left w:val="nil"/>
              <w:bottom w:val="single" w:sz="6" w:space="0" w:color="auto"/>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906.6</w:t>
            </w:r>
          </w:p>
        </w:tc>
        <w:tc>
          <w:tcPr>
            <w:tcW w:w="937" w:type="dxa"/>
            <w:tcBorders>
              <w:top w:val="nil"/>
              <w:left w:val="nil"/>
              <w:bottom w:val="single" w:sz="6" w:space="0" w:color="auto"/>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935.1</w:t>
            </w:r>
          </w:p>
        </w:tc>
        <w:tc>
          <w:tcPr>
            <w:tcW w:w="937" w:type="dxa"/>
            <w:tcBorders>
              <w:top w:val="nil"/>
              <w:left w:val="nil"/>
              <w:bottom w:val="single" w:sz="6" w:space="0" w:color="auto"/>
              <w:right w:val="nil"/>
            </w:tcBorders>
          </w:tcPr>
          <w:p w:rsidR="00F60B5F" w:rsidRPr="006C59E4" w:rsidRDefault="00F60B5F" w:rsidP="00820AF8">
            <w:pPr>
              <w:pStyle w:val="TableofFigures"/>
              <w:rPr>
                <w:rFonts w:eastAsiaTheme="minorEastAsia"/>
                <w:sz w:val="19"/>
                <w:szCs w:val="22"/>
                <w:lang w:eastAsia="en-AU"/>
              </w:rPr>
            </w:pPr>
            <w:r w:rsidRPr="006C59E4">
              <w:rPr>
                <w:rFonts w:eastAsiaTheme="minorEastAsia"/>
                <w:sz w:val="19"/>
                <w:szCs w:val="22"/>
                <w:lang w:eastAsia="en-AU"/>
              </w:rPr>
              <w:t xml:space="preserve"> 955.9</w:t>
            </w:r>
          </w:p>
        </w:tc>
      </w:tr>
      <w:tr w:rsidR="00F60B5F" w:rsidRPr="006C59E4" w:rsidTr="006C59E4">
        <w:tc>
          <w:tcPr>
            <w:tcW w:w="3077"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text"/>
              <w:rPr>
                <w:rFonts w:eastAsiaTheme="minorEastAsia"/>
                <w:b/>
                <w:bCs/>
                <w:sz w:val="19"/>
                <w:lang w:eastAsia="en-AU"/>
              </w:rPr>
            </w:pPr>
            <w:r w:rsidRPr="006C59E4">
              <w:rPr>
                <w:rFonts w:eastAsiaTheme="minorEastAsia"/>
                <w:b/>
                <w:bCs/>
                <w:sz w:val="19"/>
                <w:lang w:eastAsia="en-AU"/>
              </w:rPr>
              <w:t>Total other revenue</w:t>
            </w:r>
          </w:p>
        </w:tc>
        <w:tc>
          <w:tcPr>
            <w:tcW w:w="936"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22"/>
                <w:lang w:eastAsia="en-AU"/>
              </w:rPr>
            </w:pPr>
            <w:r w:rsidRPr="006C59E4">
              <w:rPr>
                <w:rFonts w:eastAsiaTheme="minorEastAsia"/>
                <w:b/>
                <w:bCs/>
                <w:sz w:val="19"/>
                <w:szCs w:val="22"/>
                <w:lang w:eastAsia="en-AU"/>
              </w:rPr>
              <w:t>2 074.5</w:t>
            </w:r>
          </w:p>
        </w:tc>
        <w:tc>
          <w:tcPr>
            <w:tcW w:w="937"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22"/>
                <w:lang w:eastAsia="en-AU"/>
              </w:rPr>
            </w:pPr>
            <w:r w:rsidRPr="006C59E4">
              <w:rPr>
                <w:rFonts w:eastAsiaTheme="minorEastAsia"/>
                <w:b/>
                <w:bCs/>
                <w:sz w:val="19"/>
                <w:szCs w:val="22"/>
                <w:lang w:eastAsia="en-AU"/>
              </w:rPr>
              <w:t>2 142.5</w:t>
            </w:r>
          </w:p>
        </w:tc>
        <w:tc>
          <w:tcPr>
            <w:tcW w:w="936"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22"/>
                <w:lang w:eastAsia="en-AU"/>
              </w:rPr>
            </w:pPr>
            <w:r w:rsidRPr="006C59E4">
              <w:rPr>
                <w:rFonts w:eastAsiaTheme="minorEastAsia"/>
                <w:b/>
                <w:bCs/>
                <w:sz w:val="19"/>
                <w:szCs w:val="22"/>
                <w:lang w:eastAsia="en-AU"/>
              </w:rPr>
              <w:t>1 997.1</w:t>
            </w:r>
          </w:p>
        </w:tc>
        <w:tc>
          <w:tcPr>
            <w:tcW w:w="937"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22"/>
                <w:lang w:eastAsia="en-AU"/>
              </w:rPr>
            </w:pPr>
            <w:r w:rsidRPr="006C59E4">
              <w:rPr>
                <w:rFonts w:eastAsiaTheme="minorEastAsia"/>
                <w:b/>
                <w:bCs/>
                <w:sz w:val="19"/>
                <w:szCs w:val="22"/>
                <w:lang w:eastAsia="en-AU"/>
              </w:rPr>
              <w:t>2 057.2</w:t>
            </w:r>
          </w:p>
        </w:tc>
        <w:tc>
          <w:tcPr>
            <w:tcW w:w="937"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22"/>
                <w:lang w:eastAsia="en-AU"/>
              </w:rPr>
            </w:pPr>
            <w:r w:rsidRPr="006C59E4">
              <w:rPr>
                <w:rFonts w:eastAsiaTheme="minorEastAsia"/>
                <w:b/>
                <w:bCs/>
                <w:sz w:val="19"/>
                <w:szCs w:val="22"/>
                <w:lang w:eastAsia="en-AU"/>
              </w:rPr>
              <w:t>2 094.9</w:t>
            </w:r>
          </w:p>
        </w:tc>
      </w:tr>
    </w:tbl>
    <w:p w:rsidR="00F60B5F" w:rsidRPr="00B56B1C" w:rsidRDefault="00F60B5F" w:rsidP="00696D73"/>
    <w:p w:rsidR="00F60B5F" w:rsidRPr="00B56B1C" w:rsidRDefault="00F60B5F">
      <w:pPr>
        <w:spacing w:after="0"/>
        <w:rPr>
          <w:rFonts w:ascii="Calibri" w:hAnsi="Calibri"/>
          <w:b/>
          <w:kern w:val="28"/>
          <w:sz w:val="26"/>
          <w:szCs w:val="22"/>
        </w:rPr>
      </w:pPr>
      <w:r w:rsidRPr="00B56B1C">
        <w:br w:type="page"/>
      </w:r>
    </w:p>
    <w:p w:rsidR="00F60B5F" w:rsidRPr="00B56B1C" w:rsidRDefault="00F60B5F" w:rsidP="00C54DC6">
      <w:pPr>
        <w:pStyle w:val="Heading2Notes"/>
      </w:pPr>
      <w:bookmarkStart w:id="32" w:name="_Toc373751813"/>
      <w:r w:rsidRPr="00B56B1C">
        <w:t>Note 7:</w:t>
      </w:r>
      <w:r w:rsidRPr="00B56B1C">
        <w:tab/>
        <w:t>Superannuation</w:t>
      </w:r>
      <w:bookmarkEnd w:id="32"/>
    </w:p>
    <w:p w:rsidR="00F60B5F" w:rsidRPr="00B56B1C" w:rsidRDefault="00F60B5F" w:rsidP="00C54DC6">
      <w:pPr>
        <w:pStyle w:val="Heading5"/>
      </w:pPr>
      <w:r w:rsidRPr="00B56B1C">
        <w:t>(a)</w:t>
      </w:r>
      <w:r w:rsidRPr="00B56B1C">
        <w:tab/>
        <w:t>Superannuation expense recognised in the operating statement</w:t>
      </w:r>
    </w:p>
    <w:p w:rsidR="00F60B5F" w:rsidRPr="00820AF8" w:rsidRDefault="00F60B5F" w:rsidP="00820AF8">
      <w:pPr>
        <w:pStyle w:val="million"/>
        <w:rPr>
          <w:rFonts w:ascii="Times New Roman" w:hAnsi="Times New Roman"/>
          <w:i w:val="0"/>
          <w:sz w:val="20"/>
          <w:szCs w:val="20"/>
          <w:lang w:eastAsia="en-AU"/>
        </w:rPr>
      </w:pPr>
      <w:r w:rsidRPr="00B56B1C">
        <w:t>($</w:t>
      </w:r>
      <w:r>
        <w:t> million</w:t>
      </w:r>
      <w:r w:rsidRPr="00B56B1C">
        <w:t xml:space="preserve">) </w:t>
      </w:r>
    </w:p>
    <w:tbl>
      <w:tblPr>
        <w:tblW w:w="7760" w:type="dxa"/>
        <w:tblInd w:w="28" w:type="dxa"/>
        <w:tblLayout w:type="fixed"/>
        <w:tblCellMar>
          <w:left w:w="45" w:type="dxa"/>
          <w:right w:w="45" w:type="dxa"/>
        </w:tblCellMar>
        <w:tblLook w:val="0000" w:firstRow="0" w:lastRow="0" w:firstColumn="0" w:lastColumn="0" w:noHBand="0" w:noVBand="0"/>
      </w:tblPr>
      <w:tblGrid>
        <w:gridCol w:w="3077"/>
        <w:gridCol w:w="864"/>
        <w:gridCol w:w="955"/>
        <w:gridCol w:w="954"/>
        <w:gridCol w:w="955"/>
        <w:gridCol w:w="955"/>
      </w:tblGrid>
      <w:tr w:rsidR="00F60B5F" w:rsidRPr="00820AF8" w:rsidTr="00820AF8">
        <w:tc>
          <w:tcPr>
            <w:tcW w:w="3077"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86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55"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5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55"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3077"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86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55"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5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55"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3077" w:type="dxa"/>
            <w:tcBorders>
              <w:top w:val="single" w:sz="6" w:space="0" w:color="000000"/>
              <w:left w:val="nil"/>
              <w:bottom w:val="nil"/>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 xml:space="preserve">Defined benefit plans </w:t>
            </w:r>
          </w:p>
        </w:tc>
        <w:tc>
          <w:tcPr>
            <w:tcW w:w="864" w:type="dxa"/>
            <w:tcBorders>
              <w:top w:val="single" w:sz="6" w:space="0" w:color="000000"/>
              <w:left w:val="nil"/>
              <w:bottom w:val="nil"/>
              <w:right w:val="nil"/>
            </w:tcBorders>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 xml:space="preserve"> </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 xml:space="preserve"> </w:t>
            </w:r>
          </w:p>
        </w:tc>
        <w:tc>
          <w:tcPr>
            <w:tcW w:w="954" w:type="dxa"/>
            <w:tcBorders>
              <w:top w:val="single" w:sz="6" w:space="0" w:color="000000"/>
              <w:left w:val="nil"/>
              <w:bottom w:val="nil"/>
              <w:right w:val="nil"/>
            </w:tcBorders>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 xml:space="preserve"> </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Net superannuation interest expense</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1 129.2</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1 052.0</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1 005.3</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991.2</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970.4</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 xml:space="preserve">Current service cost </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763.8</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719.6</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691.3</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676.1</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664.8</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Expected return on plan assets not included in interest income</w:t>
            </w:r>
          </w:p>
        </w:tc>
        <w:tc>
          <w:tcPr>
            <w:tcW w:w="864" w:type="dxa"/>
            <w:tcBorders>
              <w:top w:val="nil"/>
              <w:left w:val="nil"/>
              <w:bottom w:val="nil"/>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xml:space="preserve"> </w:t>
            </w:r>
          </w:p>
        </w:tc>
        <w:tc>
          <w:tcPr>
            <w:tcW w:w="954" w:type="dxa"/>
            <w:tcBorders>
              <w:top w:val="nil"/>
              <w:left w:val="nil"/>
              <w:bottom w:val="nil"/>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xml:space="preserve"> </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Expected return on superannuation assets excluding interest income</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( 593.2)</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( 541.2)</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( 564.7)</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( 576.8)</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( 588.2)</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Other actuarial (gain)/loss on superannuation assets</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( 629.9)</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Actuarial and other adjustments to unfunded superannuation liability</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( 663.5)</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w:t>
            </w:r>
          </w:p>
        </w:tc>
      </w:tr>
      <w:tr w:rsidR="00F60B5F" w:rsidRPr="00820AF8" w:rsidTr="00820AF8">
        <w:tc>
          <w:tcPr>
            <w:tcW w:w="3077" w:type="dxa"/>
            <w:tcBorders>
              <w:top w:val="single" w:sz="6" w:space="0" w:color="auto"/>
              <w:left w:val="nil"/>
              <w:bottom w:val="nil"/>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Total (gain)/expenses recognised in respect of defined benefit plans</w:t>
            </w:r>
          </w:p>
        </w:tc>
        <w:tc>
          <w:tcPr>
            <w:tcW w:w="86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1 299.8</w:t>
            </w:r>
          </w:p>
        </w:tc>
        <w:tc>
          <w:tcPr>
            <w:tcW w:w="955"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( 62.9)</w:t>
            </w:r>
          </w:p>
        </w:tc>
        <w:tc>
          <w:tcPr>
            <w:tcW w:w="95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1 131.9</w:t>
            </w:r>
          </w:p>
        </w:tc>
        <w:tc>
          <w:tcPr>
            <w:tcW w:w="955"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1 090.5</w:t>
            </w:r>
          </w:p>
        </w:tc>
        <w:tc>
          <w:tcPr>
            <w:tcW w:w="955"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1 047.0</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Defined contribution plans</w:t>
            </w:r>
          </w:p>
        </w:tc>
        <w:tc>
          <w:tcPr>
            <w:tcW w:w="864" w:type="dxa"/>
            <w:tcBorders>
              <w:top w:val="nil"/>
              <w:left w:val="nil"/>
              <w:bottom w:val="nil"/>
              <w:right w:val="nil"/>
            </w:tcBorders>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 xml:space="preserve"> </w:t>
            </w:r>
          </w:p>
        </w:tc>
        <w:tc>
          <w:tcPr>
            <w:tcW w:w="954" w:type="dxa"/>
            <w:tcBorders>
              <w:top w:val="nil"/>
              <w:left w:val="nil"/>
              <w:bottom w:val="nil"/>
              <w:right w:val="nil"/>
            </w:tcBorders>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sz w:val="19"/>
                <w:lang w:eastAsia="en-AU"/>
              </w:rPr>
            </w:pPr>
            <w:r w:rsidRPr="00820AF8">
              <w:rPr>
                <w:rFonts w:eastAsiaTheme="minorEastAsia"/>
                <w:b/>
                <w:sz w:val="19"/>
                <w:lang w:eastAsia="en-AU"/>
              </w:rPr>
              <w:t xml:space="preserve"> </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 xml:space="preserve">Employer contributions to defined contribution plans </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1 078.4</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1 066.9</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1 112.0</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1 160.1</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1 194.2</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Other (including pensions)</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59.6</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59.6</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61.1</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61.1</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61.1</w:t>
            </w:r>
          </w:p>
        </w:tc>
      </w:tr>
      <w:tr w:rsidR="00F60B5F" w:rsidRPr="00820AF8" w:rsidTr="00820AF8">
        <w:tc>
          <w:tcPr>
            <w:tcW w:w="3077"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Total expense recognised in respect of defined contribution plans</w:t>
            </w:r>
          </w:p>
        </w:tc>
        <w:tc>
          <w:tcPr>
            <w:tcW w:w="86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1 138.0</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1 126.5</w:t>
            </w:r>
          </w:p>
        </w:tc>
        <w:tc>
          <w:tcPr>
            <w:tcW w:w="95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1 173.0</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1 221.2</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1 255.2</w:t>
            </w:r>
          </w:p>
        </w:tc>
      </w:tr>
      <w:tr w:rsidR="00F60B5F" w:rsidRPr="00820AF8" w:rsidTr="00820AF8">
        <w:tc>
          <w:tcPr>
            <w:tcW w:w="3077" w:type="dxa"/>
            <w:tcBorders>
              <w:top w:val="single" w:sz="6" w:space="0" w:color="auto"/>
              <w:left w:val="nil"/>
              <w:bottom w:val="single" w:sz="12" w:space="0" w:color="auto"/>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Total superannuation (gain)/expense recognised in operating statement</w:t>
            </w:r>
          </w:p>
        </w:tc>
        <w:tc>
          <w:tcPr>
            <w:tcW w:w="864" w:type="dxa"/>
            <w:tcBorders>
              <w:top w:val="nil"/>
              <w:left w:val="nil"/>
              <w:bottom w:val="single" w:sz="12"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2 437.9</w:t>
            </w:r>
          </w:p>
        </w:tc>
        <w:tc>
          <w:tcPr>
            <w:tcW w:w="955" w:type="dxa"/>
            <w:tcBorders>
              <w:top w:val="nil"/>
              <w:left w:val="nil"/>
              <w:bottom w:val="single" w:sz="12"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1 063.6</w:t>
            </w:r>
          </w:p>
        </w:tc>
        <w:tc>
          <w:tcPr>
            <w:tcW w:w="954" w:type="dxa"/>
            <w:tcBorders>
              <w:top w:val="nil"/>
              <w:left w:val="nil"/>
              <w:bottom w:val="single" w:sz="12"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2 304.9</w:t>
            </w:r>
          </w:p>
        </w:tc>
        <w:tc>
          <w:tcPr>
            <w:tcW w:w="955" w:type="dxa"/>
            <w:tcBorders>
              <w:top w:val="nil"/>
              <w:left w:val="nil"/>
              <w:bottom w:val="single" w:sz="12"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2 311.6</w:t>
            </w:r>
          </w:p>
        </w:tc>
        <w:tc>
          <w:tcPr>
            <w:tcW w:w="955" w:type="dxa"/>
            <w:tcBorders>
              <w:top w:val="nil"/>
              <w:left w:val="nil"/>
              <w:bottom w:val="single" w:sz="12" w:space="0" w:color="auto"/>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2 302.2</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Represented by:</w:t>
            </w:r>
          </w:p>
        </w:tc>
        <w:tc>
          <w:tcPr>
            <w:tcW w:w="864" w:type="dxa"/>
            <w:tcBorders>
              <w:top w:val="nil"/>
              <w:left w:val="nil"/>
              <w:bottom w:val="nil"/>
              <w:right w:val="nil"/>
            </w:tcBorders>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54" w:type="dxa"/>
            <w:tcBorders>
              <w:top w:val="nil"/>
              <w:left w:val="nil"/>
              <w:bottom w:val="nil"/>
              <w:right w:val="nil"/>
            </w:tcBorders>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b/>
                <w:bCs/>
                <w:sz w:val="19"/>
                <w:lang w:eastAsia="en-AU"/>
              </w:rPr>
            </w:pPr>
            <w:r w:rsidRPr="00820AF8">
              <w:rPr>
                <w:rFonts w:eastAsiaTheme="minorEastAsia"/>
                <w:b/>
                <w:bCs/>
                <w:sz w:val="19"/>
                <w:lang w:eastAsia="en-AU"/>
              </w:rPr>
              <w:t xml:space="preserve"> </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Net superannuation interest expense</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1 129.2</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1 052.0</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1 005.3</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991.2</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 xml:space="preserve"> 970.4</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sz w:val="19"/>
                <w:szCs w:val="22"/>
                <w:lang w:eastAsia="en-AU"/>
              </w:rPr>
            </w:pPr>
            <w:r w:rsidRPr="00820AF8">
              <w:rPr>
                <w:rFonts w:eastAsiaTheme="minorEastAsia"/>
                <w:sz w:val="19"/>
                <w:szCs w:val="22"/>
                <w:lang w:eastAsia="en-AU"/>
              </w:rPr>
              <w:t>Other superannuation</w:t>
            </w:r>
          </w:p>
        </w:tc>
        <w:tc>
          <w:tcPr>
            <w:tcW w:w="86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1 901.8</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1 846.1</w:t>
            </w:r>
          </w:p>
        </w:tc>
        <w:tc>
          <w:tcPr>
            <w:tcW w:w="954"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1 864.3</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1 897.2</w:t>
            </w:r>
          </w:p>
        </w:tc>
        <w:tc>
          <w:tcPr>
            <w:tcW w:w="955" w:type="dxa"/>
            <w:tcBorders>
              <w:top w:val="nil"/>
              <w:left w:val="nil"/>
              <w:bottom w:val="nil"/>
              <w:right w:val="nil"/>
            </w:tcBorders>
          </w:tcPr>
          <w:p w:rsidR="00F60B5F" w:rsidRPr="00820AF8" w:rsidRDefault="00F60B5F" w:rsidP="00820AF8">
            <w:pPr>
              <w:pStyle w:val="TableofFigures"/>
              <w:rPr>
                <w:rFonts w:eastAsiaTheme="minorEastAsia"/>
                <w:sz w:val="19"/>
                <w:szCs w:val="22"/>
                <w:lang w:eastAsia="en-AU"/>
              </w:rPr>
            </w:pPr>
            <w:r w:rsidRPr="00820AF8">
              <w:rPr>
                <w:rFonts w:eastAsiaTheme="minorEastAsia"/>
                <w:sz w:val="19"/>
                <w:szCs w:val="22"/>
                <w:lang w:eastAsia="en-AU"/>
              </w:rPr>
              <w:t>1 920.0</w:t>
            </w:r>
          </w:p>
        </w:tc>
      </w:tr>
      <w:tr w:rsidR="00F60B5F" w:rsidRPr="00820AF8" w:rsidTr="00820AF8">
        <w:tc>
          <w:tcPr>
            <w:tcW w:w="3077" w:type="dxa"/>
            <w:tcBorders>
              <w:top w:val="single" w:sz="6" w:space="0" w:color="auto"/>
              <w:left w:val="nil"/>
              <w:bottom w:val="nil"/>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Superannuation expense from transactions</w:t>
            </w:r>
          </w:p>
        </w:tc>
        <w:tc>
          <w:tcPr>
            <w:tcW w:w="86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3 031.0</w:t>
            </w:r>
          </w:p>
        </w:tc>
        <w:tc>
          <w:tcPr>
            <w:tcW w:w="955"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2 898.1</w:t>
            </w:r>
          </w:p>
        </w:tc>
        <w:tc>
          <w:tcPr>
            <w:tcW w:w="954"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2 869.6</w:t>
            </w:r>
          </w:p>
        </w:tc>
        <w:tc>
          <w:tcPr>
            <w:tcW w:w="955"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2 888.4</w:t>
            </w:r>
          </w:p>
        </w:tc>
        <w:tc>
          <w:tcPr>
            <w:tcW w:w="955" w:type="dxa"/>
            <w:tcBorders>
              <w:top w:val="single" w:sz="6" w:space="0" w:color="auto"/>
              <w:left w:val="nil"/>
              <w:bottom w:val="nil"/>
              <w:right w:val="nil"/>
            </w:tcBorders>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2 890.4</w:t>
            </w:r>
          </w:p>
        </w:tc>
      </w:tr>
      <w:tr w:rsidR="00F60B5F" w:rsidRPr="00820AF8" w:rsidTr="00820AF8">
        <w:tc>
          <w:tcPr>
            <w:tcW w:w="3077" w:type="dxa"/>
            <w:tcBorders>
              <w:top w:val="nil"/>
              <w:left w:val="nil"/>
              <w:bottom w:val="single" w:sz="6" w:space="0" w:color="auto"/>
              <w:right w:val="nil"/>
            </w:tcBorders>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Remeasurement recognised in other comprehensive income</w:t>
            </w:r>
          </w:p>
        </w:tc>
        <w:tc>
          <w:tcPr>
            <w:tcW w:w="864" w:type="dxa"/>
            <w:tcBorders>
              <w:top w:val="nil"/>
              <w:left w:val="nil"/>
              <w:bottom w:val="single" w:sz="6" w:space="0" w:color="auto"/>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( 593.2)</w:t>
            </w:r>
          </w:p>
        </w:tc>
        <w:tc>
          <w:tcPr>
            <w:tcW w:w="955" w:type="dxa"/>
            <w:tcBorders>
              <w:top w:val="nil"/>
              <w:left w:val="nil"/>
              <w:bottom w:val="single" w:sz="6" w:space="0" w:color="auto"/>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(1 834.5)</w:t>
            </w:r>
          </w:p>
        </w:tc>
        <w:tc>
          <w:tcPr>
            <w:tcW w:w="954" w:type="dxa"/>
            <w:tcBorders>
              <w:top w:val="nil"/>
              <w:left w:val="nil"/>
              <w:bottom w:val="single" w:sz="6" w:space="0" w:color="auto"/>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( 564.7)</w:t>
            </w:r>
          </w:p>
        </w:tc>
        <w:tc>
          <w:tcPr>
            <w:tcW w:w="955" w:type="dxa"/>
            <w:tcBorders>
              <w:top w:val="nil"/>
              <w:left w:val="nil"/>
              <w:bottom w:val="single" w:sz="6" w:space="0" w:color="auto"/>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( 576.8)</w:t>
            </w:r>
          </w:p>
        </w:tc>
        <w:tc>
          <w:tcPr>
            <w:tcW w:w="955" w:type="dxa"/>
            <w:tcBorders>
              <w:top w:val="nil"/>
              <w:left w:val="nil"/>
              <w:bottom w:val="single" w:sz="6" w:space="0" w:color="auto"/>
              <w:right w:val="nil"/>
            </w:tcBorders>
          </w:tcPr>
          <w:p w:rsidR="00F60B5F" w:rsidRPr="00820AF8" w:rsidRDefault="00F60B5F" w:rsidP="00820AF8">
            <w:pPr>
              <w:pStyle w:val="TableofFigures"/>
              <w:rPr>
                <w:rFonts w:eastAsiaTheme="minorEastAsia"/>
                <w:b/>
                <w:sz w:val="19"/>
                <w:szCs w:val="22"/>
                <w:lang w:eastAsia="en-AU"/>
              </w:rPr>
            </w:pPr>
            <w:r w:rsidRPr="00820AF8">
              <w:rPr>
                <w:rFonts w:eastAsiaTheme="minorEastAsia"/>
                <w:b/>
                <w:sz w:val="19"/>
                <w:szCs w:val="22"/>
                <w:lang w:eastAsia="en-AU"/>
              </w:rPr>
              <w:t>( 588.2)</w:t>
            </w:r>
          </w:p>
        </w:tc>
      </w:tr>
      <w:tr w:rsidR="00F60B5F" w:rsidRPr="00820AF8" w:rsidTr="00820AF8">
        <w:tc>
          <w:tcPr>
            <w:tcW w:w="3077"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sz w:val="19"/>
                <w:szCs w:val="22"/>
                <w:lang w:eastAsia="en-AU"/>
              </w:rPr>
            </w:pPr>
            <w:r w:rsidRPr="00820AF8">
              <w:rPr>
                <w:rFonts w:eastAsiaTheme="minorEastAsia"/>
                <w:b/>
                <w:bCs/>
                <w:sz w:val="19"/>
                <w:szCs w:val="22"/>
                <w:lang w:eastAsia="en-AU"/>
              </w:rPr>
              <w:t>Total superannuation costs recognised in operating statement</w:t>
            </w:r>
          </w:p>
        </w:tc>
        <w:tc>
          <w:tcPr>
            <w:tcW w:w="86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2 437.9</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1 063.6</w:t>
            </w:r>
          </w:p>
        </w:tc>
        <w:tc>
          <w:tcPr>
            <w:tcW w:w="95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2 304.9</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2 311.6</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 w:val="19"/>
                <w:szCs w:val="22"/>
                <w:lang w:eastAsia="en-AU"/>
              </w:rPr>
            </w:pPr>
            <w:r w:rsidRPr="00820AF8">
              <w:rPr>
                <w:rFonts w:eastAsiaTheme="minorEastAsia"/>
                <w:b/>
                <w:bCs/>
                <w:sz w:val="19"/>
                <w:szCs w:val="22"/>
                <w:lang w:eastAsia="en-AU"/>
              </w:rPr>
              <w:t>2 302.2</w:t>
            </w:r>
          </w:p>
        </w:tc>
      </w:tr>
    </w:tbl>
    <w:p w:rsidR="00F60B5F" w:rsidRPr="00B56B1C" w:rsidRDefault="00F60B5F" w:rsidP="000E3D4D">
      <w:pPr>
        <w:pStyle w:val="Source"/>
      </w:pPr>
    </w:p>
    <w:p w:rsidR="00F60B5F" w:rsidRPr="00B56B1C" w:rsidRDefault="00F60B5F">
      <w:pPr>
        <w:spacing w:after="0"/>
        <w:rPr>
          <w:rFonts w:ascii="Calibri" w:hAnsi="Calibri"/>
          <w:b/>
        </w:rPr>
      </w:pPr>
      <w:r w:rsidRPr="00B56B1C">
        <w:br w:type="page"/>
      </w:r>
    </w:p>
    <w:p w:rsidR="00F60B5F" w:rsidRPr="00B56B1C" w:rsidRDefault="00F60B5F" w:rsidP="00172054">
      <w:pPr>
        <w:pStyle w:val="Heading5"/>
      </w:pPr>
      <w:r w:rsidRPr="00B56B1C">
        <w:t>(b)</w:t>
      </w:r>
      <w:r w:rsidRPr="00B56B1C">
        <w:tab/>
        <w:t>Reconciliation of the present value of the defined benefit obligation</w:t>
      </w:r>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954"/>
        <w:gridCol w:w="955"/>
        <w:gridCol w:w="954"/>
        <w:gridCol w:w="955"/>
        <w:gridCol w:w="955"/>
      </w:tblGrid>
      <w:tr w:rsidR="00F60B5F" w:rsidRPr="00820AF8" w:rsidTr="00820AF8">
        <w:tc>
          <w:tcPr>
            <w:tcW w:w="2987"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5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55"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5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55"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987"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5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55"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5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55"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2987" w:type="dxa"/>
            <w:tcBorders>
              <w:top w:val="single" w:sz="6" w:space="0" w:color="000000"/>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Opening balance of defined benefit obligation</w:t>
            </w:r>
          </w:p>
        </w:tc>
        <w:tc>
          <w:tcPr>
            <w:tcW w:w="954" w:type="dxa"/>
            <w:tcBorders>
              <w:top w:val="single" w:sz="6" w:space="0" w:color="000000"/>
              <w:left w:val="nil"/>
              <w:bottom w:val="nil"/>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42 </w:t>
            </w:r>
            <w:r w:rsidRPr="00820AF8">
              <w:rPr>
                <w:rFonts w:eastAsiaTheme="minorEastAsia" w:cs="Calibri"/>
                <w:b/>
                <w:bCs/>
                <w:lang w:eastAsia="en-AU"/>
              </w:rPr>
              <w:t>295.1</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42 </w:t>
            </w:r>
            <w:r w:rsidRPr="00820AF8">
              <w:rPr>
                <w:rFonts w:eastAsiaTheme="minorEastAsia" w:cs="Calibri"/>
                <w:b/>
                <w:bCs/>
                <w:lang w:eastAsia="en-AU"/>
              </w:rPr>
              <w:t>295.1</w:t>
            </w:r>
          </w:p>
        </w:tc>
        <w:tc>
          <w:tcPr>
            <w:tcW w:w="954" w:type="dxa"/>
            <w:tcBorders>
              <w:top w:val="single" w:sz="6" w:space="0" w:color="000000"/>
              <w:left w:val="nil"/>
              <w:bottom w:val="nil"/>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41 </w:t>
            </w:r>
            <w:r w:rsidRPr="00820AF8">
              <w:rPr>
                <w:rFonts w:eastAsiaTheme="minorEastAsia" w:cs="Calibri"/>
                <w:b/>
                <w:bCs/>
                <w:lang w:eastAsia="en-AU"/>
              </w:rPr>
              <w:t>806.6</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41 </w:t>
            </w:r>
            <w:r w:rsidRPr="00820AF8">
              <w:rPr>
                <w:rFonts w:eastAsiaTheme="minorEastAsia" w:cs="Calibri"/>
                <w:b/>
                <w:bCs/>
                <w:lang w:eastAsia="en-AU"/>
              </w:rPr>
              <w:t>906.0</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41 </w:t>
            </w:r>
            <w:r w:rsidRPr="00820AF8">
              <w:rPr>
                <w:rFonts w:eastAsiaTheme="minorEastAsia" w:cs="Calibri"/>
                <w:b/>
                <w:bCs/>
                <w:lang w:eastAsia="en-AU"/>
              </w:rPr>
              <w:t>914.7</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Current service cost</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763.8</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719.6</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691.3</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676.1</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664.8</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Interest cost</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1 </w:t>
            </w:r>
            <w:r w:rsidRPr="00820AF8">
              <w:rPr>
                <w:rFonts w:eastAsiaTheme="minorEastAsia" w:cs="Calibri"/>
                <w:lang w:eastAsia="en-AU"/>
              </w:rPr>
              <w:t>793.0</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1 </w:t>
            </w:r>
            <w:r w:rsidRPr="00820AF8">
              <w:rPr>
                <w:rFonts w:eastAsiaTheme="minorEastAsia" w:cs="Calibri"/>
                <w:lang w:eastAsia="en-AU"/>
              </w:rPr>
              <w:t>773.1</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1 </w:t>
            </w:r>
            <w:r w:rsidRPr="00820AF8">
              <w:rPr>
                <w:rFonts w:eastAsiaTheme="minorEastAsia" w:cs="Calibri"/>
                <w:lang w:eastAsia="en-AU"/>
              </w:rPr>
              <w:t>786.2</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1 </w:t>
            </w:r>
            <w:r w:rsidRPr="00820AF8">
              <w:rPr>
                <w:rFonts w:eastAsiaTheme="minorEastAsia" w:cs="Calibri"/>
                <w:lang w:eastAsia="en-AU"/>
              </w:rPr>
              <w:t>790.5</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1 </w:t>
            </w:r>
            <w:r w:rsidRPr="00820AF8">
              <w:rPr>
                <w:rFonts w:eastAsiaTheme="minorEastAsia" w:cs="Calibri"/>
                <w:lang w:eastAsia="en-AU"/>
              </w:rPr>
              <w:t>787.4</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Contributions by plan participants</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199.3</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197.3</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191.6</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186.5</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181.3</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Actuarial (gains)/losses</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w:t>
            </w:r>
            <w:r w:rsidRPr="00820AF8">
              <w:rPr>
                <w:rFonts w:eastAsiaTheme="minorEastAsia" w:cs="Calibri"/>
                <w:lang w:eastAsia="en-AU"/>
              </w:rPr>
              <w:t>663.5)</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p>
        </w:tc>
      </w:tr>
      <w:tr w:rsidR="00F60B5F" w:rsidRPr="00820AF8" w:rsidTr="00820AF8">
        <w:tc>
          <w:tcPr>
            <w:tcW w:w="2987"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Benefits paid</w:t>
            </w:r>
          </w:p>
        </w:tc>
        <w:tc>
          <w:tcPr>
            <w:tcW w:w="954" w:type="dxa"/>
            <w:tcBorders>
              <w:top w:val="nil"/>
              <w:left w:val="nil"/>
              <w:bottom w:val="single" w:sz="6" w:space="0" w:color="auto"/>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w:t>
            </w:r>
            <w:r w:rsidRPr="00820AF8">
              <w:rPr>
                <w:rFonts w:eastAsiaTheme="minorEastAsia" w:cs="Calibri"/>
                <w:lang w:eastAsia="en-AU"/>
              </w:rPr>
              <w:t xml:space="preserve"> 486.5)</w:t>
            </w:r>
          </w:p>
        </w:tc>
        <w:tc>
          <w:tcPr>
            <w:tcW w:w="955" w:type="dxa"/>
            <w:tcBorders>
              <w:top w:val="nil"/>
              <w:left w:val="nil"/>
              <w:bottom w:val="single" w:sz="6" w:space="0" w:color="auto"/>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w:t>
            </w:r>
            <w:r w:rsidRPr="00820AF8">
              <w:rPr>
                <w:rFonts w:eastAsiaTheme="minorEastAsia" w:cs="Calibri"/>
                <w:lang w:eastAsia="en-AU"/>
              </w:rPr>
              <w:t xml:space="preserve"> 514.9)</w:t>
            </w:r>
          </w:p>
        </w:tc>
        <w:tc>
          <w:tcPr>
            <w:tcW w:w="954" w:type="dxa"/>
            <w:tcBorders>
              <w:top w:val="nil"/>
              <w:left w:val="nil"/>
              <w:bottom w:val="single" w:sz="6" w:space="0" w:color="auto"/>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w:t>
            </w:r>
            <w:r w:rsidRPr="00820AF8">
              <w:rPr>
                <w:rFonts w:eastAsiaTheme="minorEastAsia" w:cs="Calibri"/>
                <w:lang w:eastAsia="en-AU"/>
              </w:rPr>
              <w:t xml:space="preserve"> 569.7)</w:t>
            </w:r>
          </w:p>
        </w:tc>
        <w:tc>
          <w:tcPr>
            <w:tcW w:w="955" w:type="dxa"/>
            <w:tcBorders>
              <w:top w:val="nil"/>
              <w:left w:val="nil"/>
              <w:bottom w:val="single" w:sz="6" w:space="0" w:color="auto"/>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w:t>
            </w:r>
            <w:r w:rsidRPr="00820AF8">
              <w:rPr>
                <w:rFonts w:eastAsiaTheme="minorEastAsia" w:cs="Calibri"/>
                <w:lang w:eastAsia="en-AU"/>
              </w:rPr>
              <w:t xml:space="preserve"> 644.3)</w:t>
            </w:r>
          </w:p>
        </w:tc>
        <w:tc>
          <w:tcPr>
            <w:tcW w:w="955" w:type="dxa"/>
            <w:tcBorders>
              <w:top w:val="nil"/>
              <w:left w:val="nil"/>
              <w:bottom w:val="single" w:sz="6" w:space="0" w:color="auto"/>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w:t>
            </w:r>
            <w:r w:rsidRPr="00820AF8">
              <w:rPr>
                <w:rFonts w:eastAsiaTheme="minorEastAsia" w:cs="Calibri"/>
                <w:lang w:eastAsia="en-AU"/>
              </w:rPr>
              <w:t xml:space="preserve"> 770.2)</w:t>
            </w:r>
          </w:p>
        </w:tc>
      </w:tr>
      <w:tr w:rsidR="00F60B5F" w:rsidRPr="00820AF8" w:rsidTr="00820AF8">
        <w:tc>
          <w:tcPr>
            <w:tcW w:w="2987"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Closing balance of defined benefit obligation</w:t>
            </w:r>
          </w:p>
        </w:tc>
        <w:tc>
          <w:tcPr>
            <w:tcW w:w="95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42 </w:t>
            </w:r>
            <w:r w:rsidRPr="00820AF8">
              <w:rPr>
                <w:rFonts w:eastAsiaTheme="minorEastAsia" w:cs="Calibri"/>
                <w:b/>
                <w:bCs/>
                <w:lang w:eastAsia="en-AU"/>
              </w:rPr>
              <w:t>564.8</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41 </w:t>
            </w:r>
            <w:r w:rsidRPr="00820AF8">
              <w:rPr>
                <w:rFonts w:eastAsiaTheme="minorEastAsia" w:cs="Calibri"/>
                <w:b/>
                <w:bCs/>
                <w:lang w:eastAsia="en-AU"/>
              </w:rPr>
              <w:t>806.6</w:t>
            </w:r>
          </w:p>
        </w:tc>
        <w:tc>
          <w:tcPr>
            <w:tcW w:w="95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41 </w:t>
            </w:r>
            <w:r w:rsidRPr="00820AF8">
              <w:rPr>
                <w:rFonts w:eastAsiaTheme="minorEastAsia" w:cs="Calibri"/>
                <w:b/>
                <w:bCs/>
                <w:lang w:eastAsia="en-AU"/>
              </w:rPr>
              <w:t>906.0</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41 </w:t>
            </w:r>
            <w:r w:rsidRPr="00820AF8">
              <w:rPr>
                <w:rFonts w:eastAsiaTheme="minorEastAsia" w:cs="Calibri"/>
                <w:b/>
                <w:bCs/>
                <w:lang w:eastAsia="en-AU"/>
              </w:rPr>
              <w:t>914.7</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41 </w:t>
            </w:r>
            <w:r w:rsidRPr="00820AF8">
              <w:rPr>
                <w:rFonts w:eastAsiaTheme="minorEastAsia" w:cs="Calibri"/>
                <w:b/>
                <w:bCs/>
                <w:lang w:eastAsia="en-AU"/>
              </w:rPr>
              <w:t>778.1</w:t>
            </w:r>
          </w:p>
        </w:tc>
      </w:tr>
    </w:tbl>
    <w:p w:rsidR="00F60B5F" w:rsidRPr="00B56B1C" w:rsidRDefault="00F60B5F" w:rsidP="00172054"/>
    <w:p w:rsidR="00F60B5F" w:rsidRPr="00B56B1C" w:rsidRDefault="00F60B5F" w:rsidP="00172054"/>
    <w:p w:rsidR="00F60B5F" w:rsidRPr="00B56B1C" w:rsidRDefault="00F60B5F" w:rsidP="00172054">
      <w:pPr>
        <w:pStyle w:val="Heading5"/>
      </w:pPr>
      <w:r w:rsidRPr="00B56B1C">
        <w:t>(c)</w:t>
      </w:r>
      <w:r w:rsidRPr="00B56B1C">
        <w:tab/>
        <w:t>Reconciliation of the fair value of superannuation plan assets</w:t>
      </w:r>
    </w:p>
    <w:p w:rsidR="00F60B5F" w:rsidRPr="00860592" w:rsidRDefault="00F60B5F" w:rsidP="008445D6">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954"/>
        <w:gridCol w:w="955"/>
        <w:gridCol w:w="954"/>
        <w:gridCol w:w="955"/>
        <w:gridCol w:w="955"/>
      </w:tblGrid>
      <w:tr w:rsidR="00F60B5F" w:rsidRPr="00860592" w:rsidTr="00860592">
        <w:tc>
          <w:tcPr>
            <w:tcW w:w="2987" w:type="dxa"/>
            <w:tcBorders>
              <w:top w:val="single" w:sz="6" w:space="0" w:color="000000"/>
              <w:left w:val="single" w:sz="6" w:space="0" w:color="000000"/>
              <w:bottom w:val="nil"/>
              <w:right w:val="nil"/>
            </w:tcBorders>
            <w:shd w:val="clear" w:color="000000" w:fill="000000"/>
          </w:tcPr>
          <w:p w:rsidR="00F60B5F" w:rsidRPr="00860592" w:rsidRDefault="00F60B5F" w:rsidP="00860592">
            <w:pPr>
              <w:pStyle w:val="Tabletextheading"/>
              <w:rPr>
                <w:rFonts w:eastAsiaTheme="minorEastAsia"/>
                <w:color w:val="FFFFFF"/>
                <w:lang w:eastAsia="en-AU"/>
              </w:rPr>
            </w:pPr>
            <w:r w:rsidRPr="00860592">
              <w:rPr>
                <w:rFonts w:eastAsiaTheme="minorEastAsia"/>
                <w:color w:val="FFFFFF"/>
                <w:lang w:eastAsia="en-AU"/>
              </w:rPr>
              <w:t xml:space="preserve"> </w:t>
            </w:r>
          </w:p>
        </w:tc>
        <w:tc>
          <w:tcPr>
            <w:tcW w:w="954" w:type="dxa"/>
            <w:tcBorders>
              <w:top w:val="single" w:sz="6" w:space="0" w:color="000000"/>
              <w:left w:val="nil"/>
              <w:bottom w:val="nil"/>
              <w:right w:val="nil"/>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2013</w:t>
            </w:r>
            <w:r>
              <w:rPr>
                <w:rFonts w:eastAsiaTheme="minorEastAsia"/>
                <w:iCs/>
                <w:color w:val="FFFFFF"/>
                <w:lang w:eastAsia="en-AU"/>
              </w:rPr>
              <w:noBreakHyphen/>
            </w:r>
            <w:r w:rsidRPr="00860592">
              <w:rPr>
                <w:rFonts w:eastAsiaTheme="minorEastAsia"/>
                <w:iCs/>
                <w:color w:val="FFFFFF"/>
                <w:lang w:eastAsia="en-AU"/>
              </w:rPr>
              <w:t>14</w:t>
            </w:r>
          </w:p>
        </w:tc>
        <w:tc>
          <w:tcPr>
            <w:tcW w:w="955" w:type="dxa"/>
            <w:tcBorders>
              <w:top w:val="single" w:sz="6" w:space="0" w:color="000000"/>
              <w:left w:val="nil"/>
              <w:bottom w:val="nil"/>
              <w:right w:val="nil"/>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2013</w:t>
            </w:r>
            <w:r>
              <w:rPr>
                <w:rFonts w:eastAsiaTheme="minorEastAsia"/>
                <w:iCs/>
                <w:color w:val="FFFFFF"/>
                <w:lang w:eastAsia="en-AU"/>
              </w:rPr>
              <w:noBreakHyphen/>
            </w:r>
            <w:r w:rsidRPr="00860592">
              <w:rPr>
                <w:rFonts w:eastAsiaTheme="minorEastAsia"/>
                <w:iCs/>
                <w:color w:val="FFFFFF"/>
                <w:lang w:eastAsia="en-AU"/>
              </w:rPr>
              <w:t>14</w:t>
            </w:r>
          </w:p>
        </w:tc>
        <w:tc>
          <w:tcPr>
            <w:tcW w:w="954" w:type="dxa"/>
            <w:tcBorders>
              <w:top w:val="single" w:sz="6" w:space="0" w:color="000000"/>
              <w:left w:val="nil"/>
              <w:bottom w:val="nil"/>
              <w:right w:val="nil"/>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2014</w:t>
            </w:r>
            <w:r>
              <w:rPr>
                <w:rFonts w:eastAsiaTheme="minorEastAsia"/>
                <w:iCs/>
                <w:color w:val="FFFFFF"/>
                <w:lang w:eastAsia="en-AU"/>
              </w:rPr>
              <w:noBreakHyphen/>
            </w:r>
            <w:r w:rsidRPr="00860592">
              <w:rPr>
                <w:rFonts w:eastAsiaTheme="minorEastAsia"/>
                <w:iCs/>
                <w:color w:val="FFFFFF"/>
                <w:lang w:eastAsia="en-AU"/>
              </w:rPr>
              <w:t>15</w:t>
            </w:r>
          </w:p>
        </w:tc>
        <w:tc>
          <w:tcPr>
            <w:tcW w:w="955" w:type="dxa"/>
            <w:tcBorders>
              <w:top w:val="single" w:sz="6" w:space="0" w:color="000000"/>
              <w:left w:val="nil"/>
              <w:bottom w:val="nil"/>
              <w:right w:val="nil"/>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2015</w:t>
            </w:r>
            <w:r>
              <w:rPr>
                <w:rFonts w:eastAsiaTheme="minorEastAsia"/>
                <w:iCs/>
                <w:color w:val="FFFFFF"/>
                <w:lang w:eastAsia="en-AU"/>
              </w:rPr>
              <w:noBreakHyphen/>
            </w:r>
            <w:r w:rsidRPr="00860592">
              <w:rPr>
                <w:rFonts w:eastAsiaTheme="minorEastAsia"/>
                <w:iCs/>
                <w:color w:val="FFFFFF"/>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2016</w:t>
            </w:r>
            <w:r>
              <w:rPr>
                <w:rFonts w:eastAsiaTheme="minorEastAsia"/>
                <w:iCs/>
                <w:color w:val="FFFFFF"/>
                <w:lang w:eastAsia="en-AU"/>
              </w:rPr>
              <w:noBreakHyphen/>
            </w:r>
            <w:r w:rsidRPr="00860592">
              <w:rPr>
                <w:rFonts w:eastAsiaTheme="minorEastAsia"/>
                <w:iCs/>
                <w:color w:val="FFFFFF"/>
                <w:lang w:eastAsia="en-AU"/>
              </w:rPr>
              <w:t>17</w:t>
            </w:r>
          </w:p>
        </w:tc>
      </w:tr>
      <w:tr w:rsidR="00F60B5F" w:rsidRPr="00860592" w:rsidTr="00860592">
        <w:tc>
          <w:tcPr>
            <w:tcW w:w="2987" w:type="dxa"/>
            <w:tcBorders>
              <w:top w:val="nil"/>
              <w:left w:val="single" w:sz="6" w:space="0" w:color="000000"/>
              <w:bottom w:val="single" w:sz="6" w:space="0" w:color="000000"/>
              <w:right w:val="nil"/>
            </w:tcBorders>
            <w:shd w:val="clear" w:color="000000" w:fill="000000"/>
          </w:tcPr>
          <w:p w:rsidR="00F60B5F" w:rsidRPr="00860592" w:rsidRDefault="00F60B5F" w:rsidP="00860592">
            <w:pPr>
              <w:pStyle w:val="Tabletextheading"/>
              <w:rPr>
                <w:rFonts w:eastAsiaTheme="minorEastAsia"/>
                <w:color w:val="FFFFFF"/>
                <w:lang w:eastAsia="en-AU"/>
              </w:rPr>
            </w:pPr>
            <w:r w:rsidRPr="00860592">
              <w:rPr>
                <w:rFonts w:eastAsiaTheme="minorEastAsia"/>
                <w:color w:val="FFFFFF"/>
                <w:lang w:eastAsia="en-AU"/>
              </w:rPr>
              <w:t xml:space="preserve"> </w:t>
            </w:r>
          </w:p>
        </w:tc>
        <w:tc>
          <w:tcPr>
            <w:tcW w:w="954" w:type="dxa"/>
            <w:tcBorders>
              <w:top w:val="nil"/>
              <w:left w:val="nil"/>
              <w:bottom w:val="single" w:sz="6" w:space="0" w:color="000000"/>
              <w:right w:val="nil"/>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Budget</w:t>
            </w:r>
          </w:p>
        </w:tc>
        <w:tc>
          <w:tcPr>
            <w:tcW w:w="955" w:type="dxa"/>
            <w:tcBorders>
              <w:top w:val="nil"/>
              <w:left w:val="nil"/>
              <w:bottom w:val="single" w:sz="6" w:space="0" w:color="000000"/>
              <w:right w:val="nil"/>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Revised</w:t>
            </w:r>
          </w:p>
        </w:tc>
        <w:tc>
          <w:tcPr>
            <w:tcW w:w="954" w:type="dxa"/>
            <w:tcBorders>
              <w:top w:val="nil"/>
              <w:left w:val="nil"/>
              <w:bottom w:val="single" w:sz="6" w:space="0" w:color="000000"/>
              <w:right w:val="nil"/>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Estimate</w:t>
            </w:r>
          </w:p>
        </w:tc>
        <w:tc>
          <w:tcPr>
            <w:tcW w:w="955" w:type="dxa"/>
            <w:tcBorders>
              <w:top w:val="nil"/>
              <w:left w:val="nil"/>
              <w:bottom w:val="single" w:sz="6" w:space="0" w:color="000000"/>
              <w:right w:val="nil"/>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860592" w:rsidRDefault="00F60B5F" w:rsidP="00860592">
            <w:pPr>
              <w:pStyle w:val="Tabletextheading"/>
              <w:rPr>
                <w:rFonts w:eastAsiaTheme="minorEastAsia"/>
                <w:iCs/>
                <w:color w:val="FFFFFF"/>
                <w:lang w:eastAsia="en-AU"/>
              </w:rPr>
            </w:pPr>
            <w:r w:rsidRPr="00860592">
              <w:rPr>
                <w:rFonts w:eastAsiaTheme="minorEastAsia"/>
                <w:iCs/>
                <w:color w:val="FFFFFF"/>
                <w:lang w:eastAsia="en-AU"/>
              </w:rPr>
              <w:t>Estimate</w:t>
            </w:r>
          </w:p>
        </w:tc>
      </w:tr>
      <w:tr w:rsidR="00F60B5F" w:rsidRPr="00860592" w:rsidTr="00860592">
        <w:tc>
          <w:tcPr>
            <w:tcW w:w="2987" w:type="dxa"/>
            <w:tcBorders>
              <w:top w:val="single" w:sz="6" w:space="0" w:color="000000"/>
              <w:left w:val="nil"/>
              <w:bottom w:val="nil"/>
              <w:right w:val="nil"/>
            </w:tcBorders>
          </w:tcPr>
          <w:p w:rsidR="00F60B5F" w:rsidRPr="00860592" w:rsidRDefault="00F60B5F" w:rsidP="00860592">
            <w:pPr>
              <w:pStyle w:val="Tabletext"/>
              <w:rPr>
                <w:rFonts w:eastAsiaTheme="minorEastAsia"/>
                <w:b/>
                <w:bCs/>
                <w:lang w:eastAsia="en-AU"/>
              </w:rPr>
            </w:pPr>
            <w:r w:rsidRPr="00860592">
              <w:rPr>
                <w:rFonts w:eastAsiaTheme="minorEastAsia"/>
                <w:b/>
                <w:bCs/>
                <w:lang w:eastAsia="en-AU"/>
              </w:rPr>
              <w:t>Opening balance of plan assets</w:t>
            </w:r>
          </w:p>
        </w:tc>
        <w:tc>
          <w:tcPr>
            <w:tcW w:w="954" w:type="dxa"/>
            <w:tcBorders>
              <w:top w:val="single" w:sz="6" w:space="0" w:color="000000"/>
              <w:left w:val="nil"/>
              <w:bottom w:val="nil"/>
              <w:right w:val="nil"/>
            </w:tcBorders>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17 157.6</w:t>
            </w:r>
          </w:p>
        </w:tc>
        <w:tc>
          <w:tcPr>
            <w:tcW w:w="955" w:type="dxa"/>
            <w:tcBorders>
              <w:top w:val="single" w:sz="6" w:space="0" w:color="000000"/>
              <w:left w:val="nil"/>
              <w:bottom w:val="nil"/>
              <w:right w:val="nil"/>
            </w:tcBorders>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17 157.6</w:t>
            </w:r>
          </w:p>
        </w:tc>
        <w:tc>
          <w:tcPr>
            <w:tcW w:w="954" w:type="dxa"/>
            <w:tcBorders>
              <w:top w:val="single" w:sz="6" w:space="0" w:color="000000"/>
              <w:left w:val="nil"/>
              <w:bottom w:val="nil"/>
              <w:right w:val="nil"/>
            </w:tcBorders>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18 238.6</w:t>
            </w:r>
          </w:p>
        </w:tc>
        <w:tc>
          <w:tcPr>
            <w:tcW w:w="955" w:type="dxa"/>
            <w:tcBorders>
              <w:top w:val="single" w:sz="6" w:space="0" w:color="000000"/>
              <w:left w:val="nil"/>
              <w:bottom w:val="nil"/>
              <w:right w:val="nil"/>
            </w:tcBorders>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18 709.5</w:t>
            </w:r>
          </w:p>
        </w:tc>
        <w:tc>
          <w:tcPr>
            <w:tcW w:w="955" w:type="dxa"/>
            <w:tcBorders>
              <w:top w:val="single" w:sz="6" w:space="0" w:color="000000"/>
              <w:left w:val="nil"/>
              <w:bottom w:val="nil"/>
              <w:right w:val="nil"/>
            </w:tcBorders>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19 122.7</w:t>
            </w:r>
          </w:p>
        </w:tc>
      </w:tr>
      <w:tr w:rsidR="00F60B5F" w:rsidRPr="00860592" w:rsidTr="00860592">
        <w:tc>
          <w:tcPr>
            <w:tcW w:w="2987" w:type="dxa"/>
            <w:tcBorders>
              <w:top w:val="nil"/>
              <w:left w:val="nil"/>
              <w:bottom w:val="nil"/>
              <w:right w:val="nil"/>
            </w:tcBorders>
          </w:tcPr>
          <w:p w:rsidR="00F60B5F" w:rsidRPr="00860592" w:rsidRDefault="00F60B5F" w:rsidP="00860592">
            <w:pPr>
              <w:pStyle w:val="Tabletext"/>
              <w:rPr>
                <w:rFonts w:eastAsiaTheme="minorEastAsia"/>
                <w:lang w:eastAsia="en-AU"/>
              </w:rPr>
            </w:pPr>
            <w:r w:rsidRPr="00860592">
              <w:rPr>
                <w:rFonts w:eastAsiaTheme="minorEastAsia"/>
                <w:lang w:eastAsia="en-AU"/>
              </w:rPr>
              <w:t>Interest income</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663.8</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721.0</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780.9</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799.3</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817.0</w:t>
            </w:r>
          </w:p>
        </w:tc>
      </w:tr>
      <w:tr w:rsidR="00F60B5F" w:rsidRPr="00860592" w:rsidTr="00860592">
        <w:tc>
          <w:tcPr>
            <w:tcW w:w="2987" w:type="dxa"/>
            <w:tcBorders>
              <w:top w:val="nil"/>
              <w:left w:val="nil"/>
              <w:bottom w:val="nil"/>
              <w:right w:val="nil"/>
            </w:tcBorders>
          </w:tcPr>
          <w:p w:rsidR="00F60B5F" w:rsidRPr="00860592" w:rsidRDefault="00F60B5F" w:rsidP="00860592">
            <w:pPr>
              <w:pStyle w:val="Tabletext"/>
              <w:rPr>
                <w:rFonts w:eastAsiaTheme="minorEastAsia"/>
                <w:lang w:eastAsia="en-AU"/>
              </w:rPr>
            </w:pPr>
            <w:r w:rsidRPr="00860592">
              <w:rPr>
                <w:rFonts w:eastAsiaTheme="minorEastAsia"/>
                <w:lang w:eastAsia="en-AU"/>
              </w:rPr>
              <w:t>Return on plan assets not included in interest income</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593.2</w:t>
            </w:r>
          </w:p>
        </w:tc>
        <w:tc>
          <w:tcPr>
            <w:tcW w:w="955" w:type="dxa"/>
            <w:tcBorders>
              <w:top w:val="nil"/>
              <w:left w:val="nil"/>
              <w:bottom w:val="nil"/>
              <w:right w:val="nil"/>
            </w:tcBorders>
          </w:tcPr>
          <w:p w:rsidR="00F60B5F" w:rsidRPr="00860592" w:rsidRDefault="00F60B5F" w:rsidP="00860592">
            <w:pPr>
              <w:pStyle w:val="TableofFigures"/>
              <w:rPr>
                <w:rFonts w:eastAsiaTheme="minorEastAsia" w:cs="Calibri"/>
                <w:szCs w:val="22"/>
                <w:lang w:eastAsia="en-AU"/>
              </w:rPr>
            </w:pPr>
            <w:r w:rsidRPr="00860592">
              <w:rPr>
                <w:rFonts w:eastAsiaTheme="minorEastAsia"/>
                <w:szCs w:val="22"/>
                <w:lang w:eastAsia="en-AU"/>
              </w:rPr>
              <w:t xml:space="preserve"> </w:t>
            </w:r>
            <w:r w:rsidRPr="00860592">
              <w:rPr>
                <w:rFonts w:eastAsiaTheme="minorEastAsia" w:cs="Calibri"/>
                <w:szCs w:val="22"/>
                <w:lang w:eastAsia="en-AU"/>
              </w:rPr>
              <w:t>541.2</w:t>
            </w:r>
          </w:p>
        </w:tc>
        <w:tc>
          <w:tcPr>
            <w:tcW w:w="954" w:type="dxa"/>
            <w:tcBorders>
              <w:top w:val="nil"/>
              <w:left w:val="nil"/>
              <w:bottom w:val="nil"/>
              <w:right w:val="nil"/>
            </w:tcBorders>
          </w:tcPr>
          <w:p w:rsidR="00F60B5F" w:rsidRPr="00860592" w:rsidRDefault="00F60B5F" w:rsidP="00860592">
            <w:pPr>
              <w:pStyle w:val="TableofFigures"/>
              <w:rPr>
                <w:rFonts w:eastAsiaTheme="minorEastAsia" w:cs="Calibri"/>
                <w:szCs w:val="22"/>
                <w:lang w:eastAsia="en-AU"/>
              </w:rPr>
            </w:pPr>
            <w:r w:rsidRPr="00860592">
              <w:rPr>
                <w:rFonts w:eastAsiaTheme="minorEastAsia"/>
                <w:szCs w:val="22"/>
                <w:lang w:eastAsia="en-AU"/>
              </w:rPr>
              <w:t xml:space="preserve"> </w:t>
            </w:r>
            <w:r w:rsidRPr="00860592">
              <w:rPr>
                <w:rFonts w:eastAsiaTheme="minorEastAsia" w:cs="Calibri"/>
                <w:szCs w:val="22"/>
                <w:lang w:eastAsia="en-AU"/>
              </w:rPr>
              <w:t>564.7</w:t>
            </w:r>
          </w:p>
        </w:tc>
        <w:tc>
          <w:tcPr>
            <w:tcW w:w="955" w:type="dxa"/>
            <w:tcBorders>
              <w:top w:val="nil"/>
              <w:left w:val="nil"/>
              <w:bottom w:val="nil"/>
              <w:right w:val="nil"/>
            </w:tcBorders>
          </w:tcPr>
          <w:p w:rsidR="00F60B5F" w:rsidRPr="00860592" w:rsidRDefault="00F60B5F" w:rsidP="00860592">
            <w:pPr>
              <w:pStyle w:val="TableofFigures"/>
              <w:rPr>
                <w:rFonts w:eastAsiaTheme="minorEastAsia" w:cs="Calibri"/>
                <w:szCs w:val="22"/>
                <w:lang w:eastAsia="en-AU"/>
              </w:rPr>
            </w:pPr>
            <w:r w:rsidRPr="00860592">
              <w:rPr>
                <w:rFonts w:eastAsiaTheme="minorEastAsia"/>
                <w:szCs w:val="22"/>
                <w:lang w:eastAsia="en-AU"/>
              </w:rPr>
              <w:t xml:space="preserve"> </w:t>
            </w:r>
            <w:r w:rsidRPr="00860592">
              <w:rPr>
                <w:rFonts w:eastAsiaTheme="minorEastAsia" w:cs="Calibri"/>
                <w:szCs w:val="22"/>
                <w:lang w:eastAsia="en-AU"/>
              </w:rPr>
              <w:t>576.8</w:t>
            </w:r>
          </w:p>
        </w:tc>
        <w:tc>
          <w:tcPr>
            <w:tcW w:w="955" w:type="dxa"/>
            <w:tcBorders>
              <w:top w:val="nil"/>
              <w:left w:val="nil"/>
              <w:bottom w:val="nil"/>
              <w:right w:val="nil"/>
            </w:tcBorders>
          </w:tcPr>
          <w:p w:rsidR="00F60B5F" w:rsidRPr="00860592" w:rsidRDefault="00F60B5F" w:rsidP="00860592">
            <w:pPr>
              <w:pStyle w:val="TableofFigures"/>
              <w:rPr>
                <w:rFonts w:eastAsiaTheme="minorEastAsia" w:cs="Calibri"/>
                <w:szCs w:val="22"/>
                <w:lang w:eastAsia="en-AU"/>
              </w:rPr>
            </w:pPr>
            <w:r w:rsidRPr="00860592">
              <w:rPr>
                <w:rFonts w:eastAsiaTheme="minorEastAsia"/>
                <w:szCs w:val="22"/>
                <w:lang w:eastAsia="en-AU"/>
              </w:rPr>
              <w:t xml:space="preserve"> </w:t>
            </w:r>
            <w:r w:rsidRPr="00860592">
              <w:rPr>
                <w:rFonts w:eastAsiaTheme="minorEastAsia" w:cs="Calibri"/>
                <w:szCs w:val="22"/>
                <w:lang w:eastAsia="en-AU"/>
              </w:rPr>
              <w:t>588.2</w:t>
            </w:r>
          </w:p>
        </w:tc>
      </w:tr>
      <w:tr w:rsidR="00F60B5F" w:rsidRPr="00860592" w:rsidTr="00860592">
        <w:tc>
          <w:tcPr>
            <w:tcW w:w="2987" w:type="dxa"/>
            <w:tcBorders>
              <w:top w:val="nil"/>
              <w:left w:val="nil"/>
              <w:bottom w:val="nil"/>
              <w:right w:val="nil"/>
            </w:tcBorders>
          </w:tcPr>
          <w:p w:rsidR="00F60B5F" w:rsidRPr="00860592" w:rsidRDefault="00F60B5F" w:rsidP="00860592">
            <w:pPr>
              <w:pStyle w:val="Tabletext"/>
              <w:rPr>
                <w:rFonts w:eastAsiaTheme="minorEastAsia"/>
                <w:lang w:eastAsia="en-AU"/>
              </w:rPr>
            </w:pPr>
            <w:r w:rsidRPr="00860592">
              <w:rPr>
                <w:rFonts w:eastAsiaTheme="minorEastAsia"/>
                <w:lang w:eastAsia="en-AU"/>
              </w:rPr>
              <w:t>Actuarial gains/(losses)</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629.9</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w:t>
            </w:r>
          </w:p>
        </w:tc>
        <w:tc>
          <w:tcPr>
            <w:tcW w:w="955" w:type="dxa"/>
            <w:tcBorders>
              <w:top w:val="nil"/>
              <w:left w:val="nil"/>
              <w:bottom w:val="nil"/>
              <w:right w:val="nil"/>
            </w:tcBorders>
          </w:tcPr>
          <w:p w:rsidR="00F60B5F" w:rsidRPr="00860592" w:rsidRDefault="00F60B5F" w:rsidP="00860592">
            <w:pPr>
              <w:pStyle w:val="TableofFigures"/>
              <w:tabs>
                <w:tab w:val="right" w:pos="865"/>
              </w:tabs>
              <w:rPr>
                <w:rFonts w:eastAsiaTheme="minorEastAsia"/>
                <w:szCs w:val="22"/>
                <w:lang w:eastAsia="en-AU"/>
              </w:rPr>
            </w:pPr>
            <w:r w:rsidRPr="00860592">
              <w:rPr>
                <w:rFonts w:eastAsiaTheme="minorEastAsia"/>
                <w:szCs w:val="22"/>
                <w:lang w:eastAsia="en-AU"/>
              </w:rPr>
              <w:t>..</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w:t>
            </w:r>
          </w:p>
        </w:tc>
      </w:tr>
      <w:tr w:rsidR="00F60B5F" w:rsidRPr="00860592" w:rsidTr="00860592">
        <w:tc>
          <w:tcPr>
            <w:tcW w:w="2987" w:type="dxa"/>
            <w:tcBorders>
              <w:top w:val="nil"/>
              <w:left w:val="nil"/>
              <w:bottom w:val="nil"/>
              <w:right w:val="nil"/>
            </w:tcBorders>
          </w:tcPr>
          <w:p w:rsidR="00F60B5F" w:rsidRPr="00860592" w:rsidRDefault="00F60B5F" w:rsidP="00860592">
            <w:pPr>
              <w:pStyle w:val="Tabletext"/>
              <w:rPr>
                <w:rFonts w:eastAsiaTheme="minorEastAsia"/>
                <w:lang w:eastAsia="en-AU"/>
              </w:rPr>
            </w:pPr>
            <w:r w:rsidRPr="00860592">
              <w:rPr>
                <w:rFonts w:eastAsiaTheme="minorEastAsia"/>
                <w:lang w:eastAsia="en-AU"/>
              </w:rPr>
              <w:t>Employer contributions</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1 504.8</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1 506.6</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1 503.4</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1 495.0</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1 621.1</w:t>
            </w:r>
          </w:p>
        </w:tc>
      </w:tr>
      <w:tr w:rsidR="00F60B5F" w:rsidRPr="00860592" w:rsidTr="00860592">
        <w:tc>
          <w:tcPr>
            <w:tcW w:w="2987" w:type="dxa"/>
            <w:tcBorders>
              <w:top w:val="nil"/>
              <w:left w:val="nil"/>
              <w:bottom w:val="nil"/>
              <w:right w:val="nil"/>
            </w:tcBorders>
          </w:tcPr>
          <w:p w:rsidR="00F60B5F" w:rsidRPr="00860592" w:rsidRDefault="00F60B5F" w:rsidP="00860592">
            <w:pPr>
              <w:pStyle w:val="Tabletext"/>
              <w:rPr>
                <w:rFonts w:eastAsiaTheme="minorEastAsia"/>
                <w:lang w:eastAsia="en-AU"/>
              </w:rPr>
            </w:pPr>
            <w:r w:rsidRPr="00860592">
              <w:rPr>
                <w:rFonts w:eastAsiaTheme="minorEastAsia"/>
                <w:lang w:eastAsia="en-AU"/>
              </w:rPr>
              <w:t>Contributions by plan participants</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199.3</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197.3</w:t>
            </w:r>
          </w:p>
        </w:tc>
        <w:tc>
          <w:tcPr>
            <w:tcW w:w="954"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191.6</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186.5</w:t>
            </w:r>
          </w:p>
        </w:tc>
        <w:tc>
          <w:tcPr>
            <w:tcW w:w="955" w:type="dxa"/>
            <w:tcBorders>
              <w:top w:val="nil"/>
              <w:left w:val="nil"/>
              <w:bottom w:val="nil"/>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 xml:space="preserve"> 181.3</w:t>
            </w:r>
          </w:p>
        </w:tc>
      </w:tr>
      <w:tr w:rsidR="00F60B5F" w:rsidRPr="00860592" w:rsidTr="00860592">
        <w:tc>
          <w:tcPr>
            <w:tcW w:w="2987" w:type="dxa"/>
            <w:tcBorders>
              <w:top w:val="nil"/>
              <w:left w:val="nil"/>
              <w:bottom w:val="single" w:sz="6" w:space="0" w:color="auto"/>
              <w:right w:val="nil"/>
            </w:tcBorders>
          </w:tcPr>
          <w:p w:rsidR="00F60B5F" w:rsidRPr="00860592" w:rsidRDefault="00F60B5F" w:rsidP="00860592">
            <w:pPr>
              <w:pStyle w:val="Tabletext"/>
              <w:rPr>
                <w:rFonts w:eastAsiaTheme="minorEastAsia"/>
                <w:lang w:eastAsia="en-AU"/>
              </w:rPr>
            </w:pPr>
            <w:r w:rsidRPr="00860592">
              <w:rPr>
                <w:rFonts w:eastAsiaTheme="minorEastAsia"/>
                <w:lang w:eastAsia="en-AU"/>
              </w:rPr>
              <w:t>Benefits paid (including tax paid)</w:t>
            </w:r>
          </w:p>
        </w:tc>
        <w:tc>
          <w:tcPr>
            <w:tcW w:w="954" w:type="dxa"/>
            <w:tcBorders>
              <w:top w:val="nil"/>
              <w:left w:val="nil"/>
              <w:bottom w:val="single" w:sz="6" w:space="0" w:color="auto"/>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(2 486.5)</w:t>
            </w:r>
          </w:p>
        </w:tc>
        <w:tc>
          <w:tcPr>
            <w:tcW w:w="955" w:type="dxa"/>
            <w:tcBorders>
              <w:top w:val="nil"/>
              <w:left w:val="nil"/>
              <w:bottom w:val="single" w:sz="6" w:space="0" w:color="auto"/>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(2 514.9)</w:t>
            </w:r>
          </w:p>
        </w:tc>
        <w:tc>
          <w:tcPr>
            <w:tcW w:w="954" w:type="dxa"/>
            <w:tcBorders>
              <w:top w:val="nil"/>
              <w:left w:val="nil"/>
              <w:bottom w:val="single" w:sz="6" w:space="0" w:color="auto"/>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(2 569.7)</w:t>
            </w:r>
          </w:p>
        </w:tc>
        <w:tc>
          <w:tcPr>
            <w:tcW w:w="955" w:type="dxa"/>
            <w:tcBorders>
              <w:top w:val="nil"/>
              <w:left w:val="nil"/>
              <w:bottom w:val="single" w:sz="6" w:space="0" w:color="auto"/>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(2 644.3)</w:t>
            </w:r>
          </w:p>
        </w:tc>
        <w:tc>
          <w:tcPr>
            <w:tcW w:w="955" w:type="dxa"/>
            <w:tcBorders>
              <w:top w:val="nil"/>
              <w:left w:val="nil"/>
              <w:bottom w:val="single" w:sz="6" w:space="0" w:color="auto"/>
              <w:right w:val="nil"/>
            </w:tcBorders>
          </w:tcPr>
          <w:p w:rsidR="00F60B5F" w:rsidRPr="00860592" w:rsidRDefault="00F60B5F" w:rsidP="00860592">
            <w:pPr>
              <w:pStyle w:val="TableofFigures"/>
              <w:rPr>
                <w:rFonts w:eastAsiaTheme="minorEastAsia"/>
                <w:szCs w:val="22"/>
                <w:lang w:eastAsia="en-AU"/>
              </w:rPr>
            </w:pPr>
            <w:r w:rsidRPr="00860592">
              <w:rPr>
                <w:rFonts w:eastAsiaTheme="minorEastAsia"/>
                <w:szCs w:val="22"/>
                <w:lang w:eastAsia="en-AU"/>
              </w:rPr>
              <w:t>(2 770.2)</w:t>
            </w:r>
          </w:p>
        </w:tc>
      </w:tr>
      <w:tr w:rsidR="00F60B5F" w:rsidRPr="00860592" w:rsidTr="00860592">
        <w:tc>
          <w:tcPr>
            <w:tcW w:w="2987" w:type="dxa"/>
            <w:tcBorders>
              <w:top w:val="single" w:sz="6" w:space="0" w:color="auto"/>
              <w:left w:val="nil"/>
              <w:bottom w:val="single" w:sz="12" w:space="0" w:color="000000"/>
              <w:right w:val="nil"/>
            </w:tcBorders>
            <w:shd w:val="clear" w:color="auto" w:fill="auto"/>
          </w:tcPr>
          <w:p w:rsidR="00F60B5F" w:rsidRPr="00860592" w:rsidRDefault="00F60B5F" w:rsidP="00860592">
            <w:pPr>
              <w:pStyle w:val="Tabletext"/>
              <w:rPr>
                <w:rFonts w:eastAsiaTheme="minorEastAsia"/>
                <w:b/>
                <w:bCs/>
                <w:lang w:eastAsia="en-AU"/>
              </w:rPr>
            </w:pPr>
            <w:r w:rsidRPr="00860592">
              <w:rPr>
                <w:rFonts w:eastAsiaTheme="minorEastAsia"/>
                <w:b/>
                <w:bCs/>
                <w:lang w:eastAsia="en-AU"/>
              </w:rPr>
              <w:t>Closing balance of plan assets</w:t>
            </w:r>
          </w:p>
        </w:tc>
        <w:tc>
          <w:tcPr>
            <w:tcW w:w="954" w:type="dxa"/>
            <w:tcBorders>
              <w:top w:val="single" w:sz="6" w:space="0" w:color="auto"/>
              <w:left w:val="nil"/>
              <w:bottom w:val="single" w:sz="12" w:space="0" w:color="000000"/>
              <w:right w:val="nil"/>
            </w:tcBorders>
            <w:shd w:val="clear" w:color="auto" w:fill="auto"/>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17 632.2</w:t>
            </w:r>
          </w:p>
        </w:tc>
        <w:tc>
          <w:tcPr>
            <w:tcW w:w="955" w:type="dxa"/>
            <w:tcBorders>
              <w:top w:val="single" w:sz="6" w:space="0" w:color="auto"/>
              <w:left w:val="nil"/>
              <w:bottom w:val="single" w:sz="12" w:space="0" w:color="000000"/>
              <w:right w:val="nil"/>
            </w:tcBorders>
            <w:shd w:val="clear" w:color="auto" w:fill="auto"/>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18 238.6</w:t>
            </w:r>
          </w:p>
        </w:tc>
        <w:tc>
          <w:tcPr>
            <w:tcW w:w="954" w:type="dxa"/>
            <w:tcBorders>
              <w:top w:val="single" w:sz="6" w:space="0" w:color="auto"/>
              <w:left w:val="nil"/>
              <w:bottom w:val="single" w:sz="12" w:space="0" w:color="000000"/>
              <w:right w:val="nil"/>
            </w:tcBorders>
            <w:shd w:val="clear" w:color="auto" w:fill="auto"/>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18 709.5</w:t>
            </w:r>
          </w:p>
        </w:tc>
        <w:tc>
          <w:tcPr>
            <w:tcW w:w="955" w:type="dxa"/>
            <w:tcBorders>
              <w:top w:val="single" w:sz="6" w:space="0" w:color="auto"/>
              <w:left w:val="nil"/>
              <w:bottom w:val="single" w:sz="12" w:space="0" w:color="000000"/>
              <w:right w:val="nil"/>
            </w:tcBorders>
            <w:shd w:val="clear" w:color="auto" w:fill="auto"/>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19 122.7</w:t>
            </w:r>
          </w:p>
        </w:tc>
        <w:tc>
          <w:tcPr>
            <w:tcW w:w="955" w:type="dxa"/>
            <w:tcBorders>
              <w:top w:val="single" w:sz="6" w:space="0" w:color="auto"/>
              <w:left w:val="nil"/>
              <w:bottom w:val="single" w:sz="12" w:space="0" w:color="000000"/>
              <w:right w:val="nil"/>
            </w:tcBorders>
            <w:shd w:val="clear" w:color="auto" w:fill="auto"/>
          </w:tcPr>
          <w:p w:rsidR="00F60B5F" w:rsidRPr="00860592" w:rsidRDefault="00F60B5F" w:rsidP="00860592">
            <w:pPr>
              <w:pStyle w:val="TableofFigures"/>
              <w:rPr>
                <w:rFonts w:eastAsiaTheme="minorEastAsia"/>
                <w:b/>
                <w:bCs/>
                <w:szCs w:val="22"/>
                <w:lang w:eastAsia="en-AU"/>
              </w:rPr>
            </w:pPr>
            <w:r w:rsidRPr="00860592">
              <w:rPr>
                <w:rFonts w:eastAsiaTheme="minorEastAsia"/>
                <w:b/>
                <w:bCs/>
                <w:szCs w:val="22"/>
                <w:lang w:eastAsia="en-AU"/>
              </w:rPr>
              <w:t>19 560.1</w:t>
            </w:r>
          </w:p>
        </w:tc>
      </w:tr>
    </w:tbl>
    <w:p w:rsidR="00F60B5F" w:rsidRPr="00B56B1C" w:rsidRDefault="00F60B5F" w:rsidP="008445D6">
      <w:pPr>
        <w:pStyle w:val="million"/>
      </w:pPr>
    </w:p>
    <w:p w:rsidR="00F60B5F" w:rsidRPr="00B56B1C" w:rsidRDefault="00F60B5F" w:rsidP="00172054"/>
    <w:p w:rsidR="00F60B5F" w:rsidRPr="00B56B1C" w:rsidRDefault="00F60B5F">
      <w:pPr>
        <w:spacing w:after="0"/>
        <w:rPr>
          <w:rFonts w:ascii="Calibri" w:hAnsi="Calibri"/>
          <w:b/>
        </w:rPr>
      </w:pPr>
      <w:r w:rsidRPr="00B56B1C">
        <w:br w:type="page"/>
      </w:r>
    </w:p>
    <w:p w:rsidR="00F60B5F" w:rsidRPr="00B56B1C" w:rsidRDefault="00F60B5F" w:rsidP="00172054">
      <w:pPr>
        <w:pStyle w:val="Heading5"/>
      </w:pPr>
      <w:r w:rsidRPr="00B56B1C">
        <w:t>(d)</w:t>
      </w:r>
      <w:r w:rsidRPr="00B56B1C">
        <w:tab/>
        <w:t>Reconciliation of the superannuation liabilities</w:t>
      </w:r>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270"/>
        <w:gridCol w:w="684"/>
        <w:gridCol w:w="955"/>
        <w:gridCol w:w="954"/>
        <w:gridCol w:w="955"/>
        <w:gridCol w:w="955"/>
      </w:tblGrid>
      <w:tr w:rsidR="00F60B5F" w:rsidRPr="00820AF8" w:rsidTr="00820AF8">
        <w:tc>
          <w:tcPr>
            <w:tcW w:w="2987"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54" w:type="dxa"/>
            <w:gridSpan w:val="2"/>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55"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5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55"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987"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54" w:type="dxa"/>
            <w:gridSpan w:val="2"/>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55"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5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55"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6C59E4">
        <w:tc>
          <w:tcPr>
            <w:tcW w:w="3257" w:type="dxa"/>
            <w:gridSpan w:val="2"/>
            <w:tcBorders>
              <w:top w:val="single" w:sz="6" w:space="0" w:color="000000"/>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Emergency Services and State Super</w:t>
            </w:r>
          </w:p>
        </w:tc>
        <w:tc>
          <w:tcPr>
            <w:tcW w:w="68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Defined benefit obligation</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37 </w:t>
            </w:r>
            <w:r w:rsidRPr="00820AF8">
              <w:rPr>
                <w:rFonts w:eastAsiaTheme="minorEastAsia" w:cs="Calibri"/>
                <w:lang w:eastAsia="en-AU"/>
              </w:rPr>
              <w:t>364.6</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36 </w:t>
            </w:r>
            <w:r w:rsidRPr="00820AF8">
              <w:rPr>
                <w:rFonts w:eastAsiaTheme="minorEastAsia" w:cs="Calibri"/>
                <w:lang w:eastAsia="en-AU"/>
              </w:rPr>
              <w:t>810.7</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36 </w:t>
            </w:r>
            <w:r w:rsidRPr="00820AF8">
              <w:rPr>
                <w:rFonts w:eastAsiaTheme="minorEastAsia" w:cs="Calibri"/>
                <w:lang w:eastAsia="en-AU"/>
              </w:rPr>
              <w:t>915.5</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36 </w:t>
            </w:r>
            <w:r w:rsidRPr="00820AF8">
              <w:rPr>
                <w:rFonts w:eastAsiaTheme="minorEastAsia" w:cs="Calibri"/>
                <w:lang w:eastAsia="en-AU"/>
              </w:rPr>
              <w:t>932.8</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36 </w:t>
            </w:r>
            <w:r w:rsidRPr="00820AF8">
              <w:rPr>
                <w:rFonts w:eastAsiaTheme="minorEastAsia" w:cs="Calibri"/>
                <w:lang w:eastAsia="en-AU"/>
              </w:rPr>
              <w:t>830.2</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vertAlign w:val="superscript"/>
                <w:lang w:eastAsia="en-AU"/>
              </w:rPr>
            </w:pPr>
            <w:r w:rsidRPr="00820AF8">
              <w:rPr>
                <w:rFonts w:eastAsiaTheme="minorEastAsia"/>
                <w:lang w:eastAsia="en-AU"/>
              </w:rPr>
              <w:t xml:space="preserve">Tax liability </w:t>
            </w:r>
            <w:r w:rsidRPr="00820AF8">
              <w:rPr>
                <w:rFonts w:eastAsiaTheme="minorEastAsia"/>
                <w:vertAlign w:val="superscript"/>
                <w:lang w:eastAsia="en-AU"/>
              </w:rPr>
              <w:t>(a)</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729.8</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522.7</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494.0</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464.0</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412.1</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Plan assets</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(16</w:t>
            </w:r>
            <w:r w:rsidRPr="00820AF8">
              <w:rPr>
                <w:rFonts w:eastAsiaTheme="minorEastAsia" w:cs="Calibri"/>
                <w:lang w:eastAsia="en-AU"/>
              </w:rPr>
              <w:t xml:space="preserve"> 314.8)</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(16</w:t>
            </w:r>
            <w:r w:rsidRPr="00820AF8">
              <w:rPr>
                <w:rFonts w:eastAsiaTheme="minorEastAsia" w:cs="Calibri"/>
                <w:lang w:eastAsia="en-AU"/>
              </w:rPr>
              <w:t xml:space="preserve"> 893.6)</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(17</w:t>
            </w:r>
            <w:r w:rsidRPr="00820AF8">
              <w:rPr>
                <w:rFonts w:eastAsiaTheme="minorEastAsia" w:cs="Calibri"/>
                <w:lang w:eastAsia="en-AU"/>
              </w:rPr>
              <w:t xml:space="preserve"> 372.3)</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(17</w:t>
            </w:r>
            <w:r w:rsidRPr="00820AF8">
              <w:rPr>
                <w:rFonts w:eastAsiaTheme="minorEastAsia" w:cs="Calibri"/>
                <w:lang w:eastAsia="en-AU"/>
              </w:rPr>
              <w:t xml:space="preserve"> 792.6)</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(18</w:t>
            </w:r>
            <w:r w:rsidRPr="00820AF8">
              <w:rPr>
                <w:rFonts w:eastAsiaTheme="minorEastAsia" w:cs="Calibri"/>
                <w:lang w:eastAsia="en-AU"/>
              </w:rPr>
              <w:t xml:space="preserve"> 239.6)</w:t>
            </w:r>
          </w:p>
        </w:tc>
      </w:tr>
      <w:tr w:rsidR="00F60B5F" w:rsidRPr="00820AF8" w:rsidTr="00820AF8">
        <w:tc>
          <w:tcPr>
            <w:tcW w:w="2987"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Net liability/(asset)</w:t>
            </w:r>
          </w:p>
        </w:tc>
        <w:tc>
          <w:tcPr>
            <w:tcW w:w="954" w:type="dxa"/>
            <w:gridSpan w:val="2"/>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23 </w:t>
            </w:r>
            <w:r w:rsidRPr="00820AF8">
              <w:rPr>
                <w:rFonts w:eastAsiaTheme="minorEastAsia" w:cs="Calibri"/>
                <w:b/>
                <w:bCs/>
                <w:lang w:eastAsia="en-AU"/>
              </w:rPr>
              <w:t>779.6</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22 </w:t>
            </w:r>
            <w:r w:rsidRPr="00820AF8">
              <w:rPr>
                <w:rFonts w:eastAsiaTheme="minorEastAsia" w:cs="Calibri"/>
                <w:b/>
                <w:bCs/>
                <w:lang w:eastAsia="en-AU"/>
              </w:rPr>
              <w:t>439.8</w:t>
            </w:r>
          </w:p>
        </w:tc>
        <w:tc>
          <w:tcPr>
            <w:tcW w:w="95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22 </w:t>
            </w:r>
            <w:r w:rsidRPr="00820AF8">
              <w:rPr>
                <w:rFonts w:eastAsiaTheme="minorEastAsia" w:cs="Calibri"/>
                <w:b/>
                <w:bCs/>
                <w:lang w:eastAsia="en-AU"/>
              </w:rPr>
              <w:t>037.3</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21 </w:t>
            </w:r>
            <w:r w:rsidRPr="00820AF8">
              <w:rPr>
                <w:rFonts w:eastAsiaTheme="minorEastAsia" w:cs="Calibri"/>
                <w:b/>
                <w:bCs/>
                <w:lang w:eastAsia="en-AU"/>
              </w:rPr>
              <w:t>604.2</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 xml:space="preserve">21 </w:t>
            </w:r>
            <w:r w:rsidRPr="00820AF8">
              <w:rPr>
                <w:rFonts w:eastAsiaTheme="minorEastAsia" w:cs="Calibri"/>
                <w:b/>
                <w:bCs/>
                <w:lang w:eastAsia="en-AU"/>
              </w:rPr>
              <w:t>002.7</w:t>
            </w:r>
          </w:p>
        </w:tc>
      </w:tr>
      <w:tr w:rsidR="00F60B5F" w:rsidRPr="00820AF8" w:rsidTr="00820AF8">
        <w:tc>
          <w:tcPr>
            <w:tcW w:w="2987" w:type="dxa"/>
            <w:tcBorders>
              <w:top w:val="nil"/>
              <w:left w:val="nil"/>
              <w:bottom w:val="nil"/>
              <w:right w:val="nil"/>
            </w:tcBorders>
          </w:tcPr>
          <w:p w:rsidR="00F60B5F" w:rsidRPr="00820AF8" w:rsidRDefault="00F60B5F" w:rsidP="00376390">
            <w:pPr>
              <w:pStyle w:val="Tabletext"/>
              <w:spacing w:before="20"/>
              <w:rPr>
                <w:rFonts w:eastAsiaTheme="minorEastAsia"/>
                <w:b/>
                <w:bCs/>
                <w:vertAlign w:val="superscript"/>
                <w:lang w:eastAsia="en-AU"/>
              </w:rPr>
            </w:pPr>
            <w:r w:rsidRPr="00820AF8">
              <w:rPr>
                <w:rFonts w:eastAsiaTheme="minorEastAsia"/>
                <w:b/>
                <w:bCs/>
                <w:lang w:eastAsia="en-AU"/>
              </w:rPr>
              <w:t xml:space="preserve">Other funds </w:t>
            </w:r>
            <w:r w:rsidRPr="00376390">
              <w:rPr>
                <w:rFonts w:eastAsiaTheme="minorEastAsia"/>
                <w:b/>
                <w:bCs/>
                <w:vertAlign w:val="superscript"/>
                <w:lang w:eastAsia="en-AU"/>
              </w:rPr>
              <w:t>(b)</w:t>
            </w:r>
          </w:p>
        </w:tc>
        <w:tc>
          <w:tcPr>
            <w:tcW w:w="954" w:type="dxa"/>
            <w:gridSpan w:val="2"/>
            <w:tcBorders>
              <w:top w:val="nil"/>
              <w:left w:val="nil"/>
              <w:bottom w:val="nil"/>
              <w:right w:val="nil"/>
            </w:tcBorders>
          </w:tcPr>
          <w:p w:rsidR="00F60B5F" w:rsidRPr="00820AF8" w:rsidRDefault="00F60B5F" w:rsidP="00376390">
            <w:pPr>
              <w:pStyle w:val="TableofFigures"/>
              <w:spacing w:before="20"/>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376390">
            <w:pPr>
              <w:pStyle w:val="TableofFigures"/>
              <w:spacing w:before="20"/>
              <w:rPr>
                <w:rFonts w:eastAsiaTheme="minorEastAsia"/>
                <w:lang w:eastAsia="en-AU"/>
              </w:rPr>
            </w:pPr>
            <w:r w:rsidRPr="00820AF8">
              <w:rPr>
                <w:rFonts w:eastAsiaTheme="minorEastAsia"/>
                <w:lang w:eastAsia="en-AU"/>
              </w:rPr>
              <w:t xml:space="preserve"> </w:t>
            </w:r>
          </w:p>
        </w:tc>
        <w:tc>
          <w:tcPr>
            <w:tcW w:w="954" w:type="dxa"/>
            <w:tcBorders>
              <w:top w:val="nil"/>
              <w:left w:val="nil"/>
              <w:bottom w:val="nil"/>
              <w:right w:val="nil"/>
            </w:tcBorders>
          </w:tcPr>
          <w:p w:rsidR="00F60B5F" w:rsidRPr="00820AF8" w:rsidRDefault="00F60B5F" w:rsidP="00376390">
            <w:pPr>
              <w:pStyle w:val="TableofFigures"/>
              <w:spacing w:before="20"/>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376390">
            <w:pPr>
              <w:pStyle w:val="TableofFigures"/>
              <w:spacing w:before="20"/>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376390">
            <w:pPr>
              <w:pStyle w:val="TableofFigures"/>
              <w:spacing w:before="20"/>
              <w:rPr>
                <w:rFonts w:eastAsiaTheme="minorEastAsia"/>
                <w:lang w:eastAsia="en-AU"/>
              </w:rPr>
            </w:pPr>
            <w:r w:rsidRPr="00820AF8">
              <w:rPr>
                <w:rFonts w:eastAsiaTheme="minorEastAsia"/>
                <w:lang w:eastAsia="en-AU"/>
              </w:rPr>
              <w:t xml:space="preserve"> </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Defined benefit obligation</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474.3</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478.8</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501.4</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522.2</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539.3</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vertAlign w:val="superscript"/>
                <w:lang w:eastAsia="en-AU"/>
              </w:rPr>
            </w:pPr>
            <w:r w:rsidRPr="00820AF8">
              <w:rPr>
                <w:rFonts w:eastAsiaTheme="minorEastAsia"/>
                <w:lang w:eastAsia="en-AU"/>
              </w:rPr>
              <w:t xml:space="preserve">Tax liability </w:t>
            </w:r>
            <w:r w:rsidRPr="00820AF8">
              <w:rPr>
                <w:rFonts w:eastAsiaTheme="minorEastAsia"/>
                <w:vertAlign w:val="superscript"/>
                <w:lang w:eastAsia="en-AU"/>
              </w:rPr>
              <w:t>(a)</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4.0)</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5.6)</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4.9)</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4.2)</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3.6)</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Plan assets</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w:t>
            </w:r>
            <w:r w:rsidRPr="00820AF8">
              <w:rPr>
                <w:rFonts w:eastAsiaTheme="minorEastAsia" w:cs="Calibri"/>
                <w:szCs w:val="22"/>
                <w:lang w:eastAsia="en-AU"/>
              </w:rPr>
              <w:t xml:space="preserve"> 317.4)</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w:t>
            </w:r>
            <w:r w:rsidRPr="00820AF8">
              <w:rPr>
                <w:rFonts w:eastAsiaTheme="minorEastAsia" w:cs="Calibri"/>
                <w:szCs w:val="22"/>
                <w:lang w:eastAsia="en-AU"/>
              </w:rPr>
              <w:t xml:space="preserve"> 345.0)</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w:t>
            </w:r>
            <w:r w:rsidRPr="00820AF8">
              <w:rPr>
                <w:rFonts w:eastAsiaTheme="minorEastAsia" w:cs="Calibri"/>
                <w:szCs w:val="22"/>
                <w:lang w:eastAsia="en-AU"/>
              </w:rPr>
              <w:t xml:space="preserve"> 337.2)</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w:t>
            </w:r>
            <w:r w:rsidRPr="00820AF8">
              <w:rPr>
                <w:rFonts w:eastAsiaTheme="minorEastAsia" w:cs="Calibri"/>
                <w:szCs w:val="22"/>
                <w:lang w:eastAsia="en-AU"/>
              </w:rPr>
              <w:t xml:space="preserve"> 330.1)</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w:t>
            </w:r>
            <w:r w:rsidRPr="00820AF8">
              <w:rPr>
                <w:rFonts w:eastAsiaTheme="minorEastAsia" w:cs="Calibri"/>
                <w:szCs w:val="22"/>
                <w:lang w:eastAsia="en-AU"/>
              </w:rPr>
              <w:t xml:space="preserve"> 320.5)</w:t>
            </w:r>
          </w:p>
        </w:tc>
      </w:tr>
      <w:tr w:rsidR="00F60B5F" w:rsidRPr="00820AF8" w:rsidTr="00820AF8">
        <w:tc>
          <w:tcPr>
            <w:tcW w:w="2987"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Net liability/(asset)</w:t>
            </w:r>
          </w:p>
        </w:tc>
        <w:tc>
          <w:tcPr>
            <w:tcW w:w="954" w:type="dxa"/>
            <w:gridSpan w:val="2"/>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1 </w:t>
            </w:r>
            <w:r w:rsidRPr="00820AF8">
              <w:rPr>
                <w:rFonts w:eastAsiaTheme="minorEastAsia" w:cs="Calibri"/>
                <w:b/>
                <w:bCs/>
                <w:szCs w:val="22"/>
                <w:lang w:eastAsia="en-AU"/>
              </w:rPr>
              <w:t>152.9</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1 </w:t>
            </w:r>
            <w:r w:rsidRPr="00820AF8">
              <w:rPr>
                <w:rFonts w:eastAsiaTheme="minorEastAsia" w:cs="Calibri"/>
                <w:b/>
                <w:bCs/>
                <w:szCs w:val="22"/>
                <w:lang w:eastAsia="en-AU"/>
              </w:rPr>
              <w:t>128.2</w:t>
            </w:r>
          </w:p>
        </w:tc>
        <w:tc>
          <w:tcPr>
            <w:tcW w:w="95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1 </w:t>
            </w:r>
            <w:r w:rsidRPr="00820AF8">
              <w:rPr>
                <w:rFonts w:eastAsiaTheme="minorEastAsia" w:cs="Calibri"/>
                <w:b/>
                <w:bCs/>
                <w:szCs w:val="22"/>
                <w:lang w:eastAsia="en-AU"/>
              </w:rPr>
              <w:t>159.3</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1 </w:t>
            </w:r>
            <w:r w:rsidRPr="00820AF8">
              <w:rPr>
                <w:rFonts w:eastAsiaTheme="minorEastAsia" w:cs="Calibri"/>
                <w:b/>
                <w:bCs/>
                <w:szCs w:val="22"/>
                <w:lang w:eastAsia="en-AU"/>
              </w:rPr>
              <w:t>187.9</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1 </w:t>
            </w:r>
            <w:r w:rsidRPr="00820AF8">
              <w:rPr>
                <w:rFonts w:eastAsiaTheme="minorEastAsia" w:cs="Calibri"/>
                <w:b/>
                <w:bCs/>
                <w:szCs w:val="22"/>
                <w:lang w:eastAsia="en-AU"/>
              </w:rPr>
              <w:t>215.2</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superannuation</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Defined benefit obligation</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39 </w:t>
            </w:r>
            <w:r w:rsidRPr="00820AF8">
              <w:rPr>
                <w:rFonts w:eastAsiaTheme="minorEastAsia" w:cs="Calibri"/>
                <w:szCs w:val="22"/>
                <w:lang w:eastAsia="en-AU"/>
              </w:rPr>
              <w:t>839.0</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39 </w:t>
            </w:r>
            <w:r w:rsidRPr="00820AF8">
              <w:rPr>
                <w:rFonts w:eastAsiaTheme="minorEastAsia" w:cs="Calibri"/>
                <w:szCs w:val="22"/>
                <w:lang w:eastAsia="en-AU"/>
              </w:rPr>
              <w:t>289.5</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39 </w:t>
            </w:r>
            <w:r w:rsidRPr="00820AF8">
              <w:rPr>
                <w:rFonts w:eastAsiaTheme="minorEastAsia" w:cs="Calibri"/>
                <w:szCs w:val="22"/>
                <w:lang w:eastAsia="en-AU"/>
              </w:rPr>
              <w:t>416.9</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39 </w:t>
            </w:r>
            <w:r w:rsidRPr="00820AF8">
              <w:rPr>
                <w:rFonts w:eastAsiaTheme="minorEastAsia" w:cs="Calibri"/>
                <w:szCs w:val="22"/>
                <w:lang w:eastAsia="en-AU"/>
              </w:rPr>
              <w:t>454.9</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39 </w:t>
            </w:r>
            <w:r w:rsidRPr="00820AF8">
              <w:rPr>
                <w:rFonts w:eastAsiaTheme="minorEastAsia" w:cs="Calibri"/>
                <w:szCs w:val="22"/>
                <w:lang w:eastAsia="en-AU"/>
              </w:rPr>
              <w:t>369.5</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vertAlign w:val="superscript"/>
                <w:lang w:eastAsia="en-AU"/>
              </w:rPr>
            </w:pPr>
            <w:r w:rsidRPr="00820AF8">
              <w:rPr>
                <w:rFonts w:eastAsiaTheme="minorEastAsia"/>
                <w:lang w:eastAsia="en-AU"/>
              </w:rPr>
              <w:t xml:space="preserve">Tax liability </w:t>
            </w:r>
            <w:r w:rsidRPr="00820AF8">
              <w:rPr>
                <w:rFonts w:eastAsiaTheme="minorEastAsia"/>
                <w:vertAlign w:val="superscript"/>
                <w:lang w:eastAsia="en-AU"/>
              </w:rPr>
              <w:t>(a)</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725.8</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517.1</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489.1</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459.8</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 </w:t>
            </w:r>
            <w:r w:rsidRPr="00820AF8">
              <w:rPr>
                <w:rFonts w:eastAsiaTheme="minorEastAsia" w:cs="Calibri"/>
                <w:szCs w:val="22"/>
                <w:lang w:eastAsia="en-AU"/>
              </w:rPr>
              <w:t>408.5</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Plan assets</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(17</w:t>
            </w:r>
            <w:r w:rsidRPr="00820AF8">
              <w:rPr>
                <w:rFonts w:eastAsiaTheme="minorEastAsia" w:cs="Calibri"/>
                <w:szCs w:val="22"/>
                <w:lang w:eastAsia="en-AU"/>
              </w:rPr>
              <w:t xml:space="preserve"> 632.2)</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(18</w:t>
            </w:r>
            <w:r w:rsidRPr="00820AF8">
              <w:rPr>
                <w:rFonts w:eastAsiaTheme="minorEastAsia" w:cs="Calibri"/>
                <w:szCs w:val="22"/>
                <w:lang w:eastAsia="en-AU"/>
              </w:rPr>
              <w:t xml:space="preserve"> 238.6)</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(18</w:t>
            </w:r>
            <w:r w:rsidRPr="00820AF8">
              <w:rPr>
                <w:rFonts w:eastAsiaTheme="minorEastAsia" w:cs="Calibri"/>
                <w:szCs w:val="22"/>
                <w:lang w:eastAsia="en-AU"/>
              </w:rPr>
              <w:t xml:space="preserve"> 709.5)</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(19</w:t>
            </w:r>
            <w:r w:rsidRPr="00820AF8">
              <w:rPr>
                <w:rFonts w:eastAsiaTheme="minorEastAsia" w:cs="Calibri"/>
                <w:szCs w:val="22"/>
                <w:lang w:eastAsia="en-AU"/>
              </w:rPr>
              <w:t xml:space="preserve"> 122.7)</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(19</w:t>
            </w:r>
            <w:r w:rsidRPr="00820AF8">
              <w:rPr>
                <w:rFonts w:eastAsiaTheme="minorEastAsia" w:cs="Calibri"/>
                <w:szCs w:val="22"/>
                <w:lang w:eastAsia="en-AU"/>
              </w:rPr>
              <w:t xml:space="preserve"> 560.1)</w:t>
            </w:r>
          </w:p>
        </w:tc>
      </w:tr>
      <w:tr w:rsidR="00F60B5F" w:rsidRPr="00820AF8" w:rsidTr="00820AF8">
        <w:tc>
          <w:tcPr>
            <w:tcW w:w="2987"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Superannuation liability</w:t>
            </w:r>
          </w:p>
        </w:tc>
        <w:tc>
          <w:tcPr>
            <w:tcW w:w="954" w:type="dxa"/>
            <w:gridSpan w:val="2"/>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24 </w:t>
            </w:r>
            <w:r w:rsidRPr="00820AF8">
              <w:rPr>
                <w:rFonts w:eastAsiaTheme="minorEastAsia" w:cs="Calibri"/>
                <w:b/>
                <w:bCs/>
                <w:szCs w:val="22"/>
                <w:lang w:eastAsia="en-AU"/>
              </w:rPr>
              <w:t>932.5</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23 </w:t>
            </w:r>
            <w:r w:rsidRPr="00820AF8">
              <w:rPr>
                <w:rFonts w:eastAsiaTheme="minorEastAsia" w:cs="Calibri"/>
                <w:b/>
                <w:bCs/>
                <w:szCs w:val="22"/>
                <w:lang w:eastAsia="en-AU"/>
              </w:rPr>
              <w:t>568.0</w:t>
            </w:r>
          </w:p>
        </w:tc>
        <w:tc>
          <w:tcPr>
            <w:tcW w:w="95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23 </w:t>
            </w:r>
            <w:r w:rsidRPr="00820AF8">
              <w:rPr>
                <w:rFonts w:eastAsiaTheme="minorEastAsia" w:cs="Calibri"/>
                <w:b/>
                <w:bCs/>
                <w:szCs w:val="22"/>
                <w:lang w:eastAsia="en-AU"/>
              </w:rPr>
              <w:t>196.5</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22 </w:t>
            </w:r>
            <w:r w:rsidRPr="00820AF8">
              <w:rPr>
                <w:rFonts w:eastAsiaTheme="minorEastAsia" w:cs="Calibri"/>
                <w:b/>
                <w:bCs/>
                <w:szCs w:val="22"/>
                <w:lang w:eastAsia="en-AU"/>
              </w:rPr>
              <w:t>792.0</w:t>
            </w:r>
          </w:p>
        </w:tc>
        <w:tc>
          <w:tcPr>
            <w:tcW w:w="955"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22 </w:t>
            </w:r>
            <w:r w:rsidRPr="00820AF8">
              <w:rPr>
                <w:rFonts w:eastAsiaTheme="minorEastAsia" w:cs="Calibri"/>
                <w:b/>
                <w:bCs/>
                <w:szCs w:val="22"/>
                <w:lang w:eastAsia="en-AU"/>
              </w:rPr>
              <w:t>218.0</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Represented by:</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Current liability</w:t>
            </w:r>
          </w:p>
        </w:tc>
        <w:tc>
          <w:tcPr>
            <w:tcW w:w="954" w:type="dxa"/>
            <w:gridSpan w:val="2"/>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1 </w:t>
            </w:r>
            <w:r w:rsidRPr="00820AF8">
              <w:rPr>
                <w:rFonts w:eastAsiaTheme="minorEastAsia" w:cs="Calibri"/>
                <w:szCs w:val="22"/>
                <w:lang w:eastAsia="en-AU"/>
              </w:rPr>
              <w:t>000.0</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1 </w:t>
            </w:r>
            <w:r w:rsidRPr="00820AF8">
              <w:rPr>
                <w:rFonts w:eastAsiaTheme="minorEastAsia" w:cs="Calibri"/>
                <w:szCs w:val="22"/>
                <w:lang w:eastAsia="en-AU"/>
              </w:rPr>
              <w:t>000.0</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1 </w:t>
            </w:r>
            <w:r w:rsidRPr="00820AF8">
              <w:rPr>
                <w:rFonts w:eastAsiaTheme="minorEastAsia" w:cs="Calibri"/>
                <w:szCs w:val="22"/>
                <w:lang w:eastAsia="en-AU"/>
              </w:rPr>
              <w:t>000.0</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1 </w:t>
            </w:r>
            <w:r w:rsidRPr="00820AF8">
              <w:rPr>
                <w:rFonts w:eastAsiaTheme="minorEastAsia" w:cs="Calibri"/>
                <w:szCs w:val="22"/>
                <w:lang w:eastAsia="en-AU"/>
              </w:rPr>
              <w:t>133.4</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1 </w:t>
            </w:r>
            <w:r w:rsidRPr="00820AF8">
              <w:rPr>
                <w:rFonts w:eastAsiaTheme="minorEastAsia" w:cs="Calibri"/>
                <w:szCs w:val="22"/>
                <w:lang w:eastAsia="en-AU"/>
              </w:rPr>
              <w:t>264.2</w:t>
            </w:r>
          </w:p>
        </w:tc>
      </w:tr>
      <w:tr w:rsidR="00F60B5F" w:rsidRPr="00820AF8" w:rsidTr="00820AF8">
        <w:tc>
          <w:tcPr>
            <w:tcW w:w="2987" w:type="dxa"/>
            <w:tcBorders>
              <w:top w:val="nil"/>
              <w:left w:val="nil"/>
              <w:bottom w:val="single" w:sz="6" w:space="0" w:color="000000"/>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Non</w:t>
            </w:r>
            <w:r>
              <w:rPr>
                <w:rFonts w:eastAsiaTheme="minorEastAsia"/>
                <w:lang w:eastAsia="en-AU"/>
              </w:rPr>
              <w:noBreakHyphen/>
            </w:r>
            <w:r w:rsidRPr="00820AF8">
              <w:rPr>
                <w:rFonts w:eastAsiaTheme="minorEastAsia"/>
                <w:lang w:eastAsia="en-AU"/>
              </w:rPr>
              <w:t>current liability</w:t>
            </w:r>
          </w:p>
        </w:tc>
        <w:tc>
          <w:tcPr>
            <w:tcW w:w="954" w:type="dxa"/>
            <w:gridSpan w:val="2"/>
            <w:tcBorders>
              <w:top w:val="nil"/>
              <w:left w:val="nil"/>
              <w:bottom w:val="single" w:sz="6" w:space="0" w:color="000000"/>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23 </w:t>
            </w:r>
            <w:r w:rsidRPr="00820AF8">
              <w:rPr>
                <w:rFonts w:eastAsiaTheme="minorEastAsia" w:cs="Calibri"/>
                <w:szCs w:val="22"/>
                <w:lang w:eastAsia="en-AU"/>
              </w:rPr>
              <w:t>932.5</w:t>
            </w:r>
          </w:p>
        </w:tc>
        <w:tc>
          <w:tcPr>
            <w:tcW w:w="955" w:type="dxa"/>
            <w:tcBorders>
              <w:top w:val="nil"/>
              <w:left w:val="nil"/>
              <w:bottom w:val="single" w:sz="6" w:space="0" w:color="000000"/>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22 </w:t>
            </w:r>
            <w:r w:rsidRPr="00820AF8">
              <w:rPr>
                <w:rFonts w:eastAsiaTheme="minorEastAsia" w:cs="Calibri"/>
                <w:szCs w:val="22"/>
                <w:lang w:eastAsia="en-AU"/>
              </w:rPr>
              <w:t>568.0</w:t>
            </w:r>
          </w:p>
        </w:tc>
        <w:tc>
          <w:tcPr>
            <w:tcW w:w="954" w:type="dxa"/>
            <w:tcBorders>
              <w:top w:val="nil"/>
              <w:left w:val="nil"/>
              <w:bottom w:val="single" w:sz="6" w:space="0" w:color="000000"/>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22 </w:t>
            </w:r>
            <w:r w:rsidRPr="00820AF8">
              <w:rPr>
                <w:rFonts w:eastAsiaTheme="minorEastAsia" w:cs="Calibri"/>
                <w:szCs w:val="22"/>
                <w:lang w:eastAsia="en-AU"/>
              </w:rPr>
              <w:t>196.5</w:t>
            </w:r>
          </w:p>
        </w:tc>
        <w:tc>
          <w:tcPr>
            <w:tcW w:w="955" w:type="dxa"/>
            <w:tcBorders>
              <w:top w:val="nil"/>
              <w:left w:val="nil"/>
              <w:bottom w:val="single" w:sz="6" w:space="0" w:color="000000"/>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21 </w:t>
            </w:r>
            <w:r w:rsidRPr="00820AF8">
              <w:rPr>
                <w:rFonts w:eastAsiaTheme="minorEastAsia" w:cs="Calibri"/>
                <w:szCs w:val="22"/>
                <w:lang w:eastAsia="en-AU"/>
              </w:rPr>
              <w:t>658.7</w:t>
            </w:r>
          </w:p>
        </w:tc>
        <w:tc>
          <w:tcPr>
            <w:tcW w:w="955" w:type="dxa"/>
            <w:tcBorders>
              <w:top w:val="nil"/>
              <w:left w:val="nil"/>
              <w:bottom w:val="single" w:sz="6" w:space="0" w:color="000000"/>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20 </w:t>
            </w:r>
            <w:r w:rsidRPr="00820AF8">
              <w:rPr>
                <w:rFonts w:eastAsiaTheme="minorEastAsia" w:cs="Calibri"/>
                <w:szCs w:val="22"/>
                <w:lang w:eastAsia="en-AU"/>
              </w:rPr>
              <w:t>953.7</w:t>
            </w:r>
          </w:p>
        </w:tc>
      </w:tr>
      <w:tr w:rsidR="00F60B5F" w:rsidRPr="00820AF8" w:rsidTr="00820AF8">
        <w:tc>
          <w:tcPr>
            <w:tcW w:w="2987" w:type="dxa"/>
            <w:tcBorders>
              <w:top w:val="single" w:sz="6" w:space="0" w:color="000000"/>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superannuation liability</w:t>
            </w:r>
          </w:p>
        </w:tc>
        <w:tc>
          <w:tcPr>
            <w:tcW w:w="954" w:type="dxa"/>
            <w:gridSpan w:val="2"/>
            <w:tcBorders>
              <w:top w:val="single" w:sz="6" w:space="0" w:color="000000"/>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24 </w:t>
            </w:r>
            <w:r w:rsidRPr="00820AF8">
              <w:rPr>
                <w:rFonts w:eastAsiaTheme="minorEastAsia" w:cs="Calibri"/>
                <w:b/>
                <w:bCs/>
                <w:szCs w:val="22"/>
                <w:lang w:eastAsia="en-AU"/>
              </w:rPr>
              <w:t>932.5</w:t>
            </w:r>
          </w:p>
        </w:tc>
        <w:tc>
          <w:tcPr>
            <w:tcW w:w="955" w:type="dxa"/>
            <w:tcBorders>
              <w:top w:val="single" w:sz="6" w:space="0" w:color="000000"/>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23 </w:t>
            </w:r>
            <w:r w:rsidRPr="00820AF8">
              <w:rPr>
                <w:rFonts w:eastAsiaTheme="minorEastAsia" w:cs="Calibri"/>
                <w:b/>
                <w:bCs/>
                <w:szCs w:val="22"/>
                <w:lang w:eastAsia="en-AU"/>
              </w:rPr>
              <w:t>568.0</w:t>
            </w:r>
          </w:p>
        </w:tc>
        <w:tc>
          <w:tcPr>
            <w:tcW w:w="954" w:type="dxa"/>
            <w:tcBorders>
              <w:top w:val="single" w:sz="6" w:space="0" w:color="000000"/>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23 </w:t>
            </w:r>
            <w:r w:rsidRPr="00820AF8">
              <w:rPr>
                <w:rFonts w:eastAsiaTheme="minorEastAsia" w:cs="Calibri"/>
                <w:b/>
                <w:bCs/>
                <w:szCs w:val="22"/>
                <w:lang w:eastAsia="en-AU"/>
              </w:rPr>
              <w:t>196.5</w:t>
            </w:r>
          </w:p>
        </w:tc>
        <w:tc>
          <w:tcPr>
            <w:tcW w:w="955" w:type="dxa"/>
            <w:tcBorders>
              <w:top w:val="single" w:sz="6" w:space="0" w:color="000000"/>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22 </w:t>
            </w:r>
            <w:r w:rsidRPr="00820AF8">
              <w:rPr>
                <w:rFonts w:eastAsiaTheme="minorEastAsia" w:cs="Calibri"/>
                <w:b/>
                <w:bCs/>
                <w:szCs w:val="22"/>
                <w:lang w:eastAsia="en-AU"/>
              </w:rPr>
              <w:t>792.0</w:t>
            </w:r>
          </w:p>
        </w:tc>
        <w:tc>
          <w:tcPr>
            <w:tcW w:w="955" w:type="dxa"/>
            <w:tcBorders>
              <w:top w:val="single" w:sz="6" w:space="0" w:color="000000"/>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 xml:space="preserve">22 </w:t>
            </w:r>
            <w:r w:rsidRPr="00820AF8">
              <w:rPr>
                <w:rFonts w:eastAsiaTheme="minorEastAsia" w:cs="Calibri"/>
                <w:b/>
                <w:bCs/>
                <w:szCs w:val="22"/>
                <w:lang w:eastAsia="en-AU"/>
              </w:rPr>
              <w:t>218.0</w:t>
            </w:r>
          </w:p>
        </w:tc>
      </w:tr>
    </w:tbl>
    <w:p w:rsidR="00F60B5F" w:rsidRPr="00B56B1C" w:rsidRDefault="00F60B5F" w:rsidP="007B3BC0">
      <w:pPr>
        <w:pStyle w:val="Notes"/>
      </w:pPr>
      <w:r w:rsidRPr="00B56B1C">
        <w:t>Notes:</w:t>
      </w:r>
    </w:p>
    <w:p w:rsidR="00F60B5F" w:rsidRPr="00B56B1C" w:rsidRDefault="00F60B5F" w:rsidP="007B3BC0">
      <w:pPr>
        <w:pStyle w:val="Notes"/>
      </w:pPr>
      <w:r w:rsidRPr="00B56B1C">
        <w:t>(a)</w:t>
      </w:r>
      <w:r w:rsidRPr="00B56B1C">
        <w:tab/>
        <w:t>Tax liability represents the present value of future tax payments on investment income generated by superannuation assets plus the present value of future tax payments on expected future employer contributions.</w:t>
      </w:r>
    </w:p>
    <w:p w:rsidR="00F60B5F" w:rsidRDefault="00F60B5F" w:rsidP="007B3BC0">
      <w:pPr>
        <w:pStyle w:val="Notes"/>
      </w:pPr>
      <w:r w:rsidRPr="00B56B1C">
        <w:t>(b)</w:t>
      </w:r>
      <w:r w:rsidRPr="00B56B1C">
        <w:tab/>
        <w:t>Other funds include constitutionally protected schemes, the Parliamentary Contributory Superannuation Fund and the State’s share of liabilities of the Defined Benefit Scheme of the Health Super Fund.</w:t>
      </w:r>
    </w:p>
    <w:p w:rsidR="00F60B5F" w:rsidRPr="00B56B1C" w:rsidRDefault="00F60B5F" w:rsidP="007B3BC0">
      <w:pPr>
        <w:pStyle w:val="Notes"/>
      </w:pPr>
    </w:p>
    <w:p w:rsidR="00F60B5F" w:rsidRPr="00B56B1C" w:rsidRDefault="00F60B5F" w:rsidP="00696D73"/>
    <w:p w:rsidR="00F60B5F" w:rsidRPr="00B56B1C" w:rsidRDefault="00F60B5F" w:rsidP="00C54DC6">
      <w:pPr>
        <w:pStyle w:val="Heading2Notes"/>
      </w:pPr>
      <w:bookmarkStart w:id="33" w:name="_Toc373751814"/>
      <w:r w:rsidRPr="00B56B1C">
        <w:t>Note 8:</w:t>
      </w:r>
      <w:r w:rsidRPr="00B56B1C">
        <w:tab/>
        <w:t>Depreciation</w:t>
      </w:r>
      <w:bookmarkEnd w:id="33"/>
      <w:r w:rsidRPr="00B56B1C">
        <w:t xml:space="preserve"> </w:t>
      </w:r>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376390">
            <w:pPr>
              <w:pStyle w:val="Tabletext"/>
              <w:spacing w:before="20"/>
              <w:rPr>
                <w:rFonts w:eastAsiaTheme="minorEastAsia"/>
                <w:lang w:eastAsia="en-AU"/>
              </w:rPr>
            </w:pPr>
            <w:r w:rsidRPr="00820AF8">
              <w:rPr>
                <w:rFonts w:eastAsiaTheme="minorEastAsia"/>
                <w:lang w:eastAsia="en-AU"/>
              </w:rPr>
              <w:t xml:space="preserve">Buildings </w:t>
            </w:r>
            <w:r w:rsidRPr="00820AF8">
              <w:rPr>
                <w:rFonts w:eastAsiaTheme="minorEastAsia"/>
                <w:vertAlign w:val="superscript"/>
                <w:lang w:eastAsia="en-AU"/>
              </w:rPr>
              <w:t>(a)</w:t>
            </w:r>
          </w:p>
        </w:tc>
        <w:tc>
          <w:tcPr>
            <w:tcW w:w="994" w:type="dxa"/>
            <w:tcBorders>
              <w:top w:val="single" w:sz="6" w:space="0" w:color="000000"/>
              <w:left w:val="nil"/>
              <w:bottom w:val="nil"/>
              <w:right w:val="nil"/>
            </w:tcBorders>
          </w:tcPr>
          <w:p w:rsidR="00F60B5F" w:rsidRPr="00820AF8" w:rsidRDefault="00F60B5F" w:rsidP="00376390">
            <w:pPr>
              <w:pStyle w:val="TableofFigures"/>
              <w:spacing w:before="20"/>
              <w:rPr>
                <w:rFonts w:eastAsiaTheme="minorEastAsia"/>
                <w:szCs w:val="22"/>
                <w:lang w:eastAsia="en-AU"/>
              </w:rPr>
            </w:pPr>
            <w:r w:rsidRPr="00820AF8">
              <w:rPr>
                <w:rFonts w:eastAsiaTheme="minorEastAsia"/>
                <w:szCs w:val="22"/>
                <w:lang w:eastAsia="en-AU"/>
              </w:rPr>
              <w:t xml:space="preserve"> 947.5</w:t>
            </w:r>
          </w:p>
        </w:tc>
        <w:tc>
          <w:tcPr>
            <w:tcW w:w="994" w:type="dxa"/>
            <w:tcBorders>
              <w:top w:val="single" w:sz="6" w:space="0" w:color="000000"/>
              <w:left w:val="nil"/>
              <w:bottom w:val="nil"/>
              <w:right w:val="nil"/>
            </w:tcBorders>
          </w:tcPr>
          <w:p w:rsidR="00F60B5F" w:rsidRPr="00820AF8" w:rsidRDefault="00F60B5F" w:rsidP="00376390">
            <w:pPr>
              <w:pStyle w:val="TableofFigures"/>
              <w:spacing w:before="20"/>
              <w:rPr>
                <w:rFonts w:eastAsiaTheme="minorEastAsia"/>
                <w:szCs w:val="22"/>
                <w:lang w:eastAsia="en-AU"/>
              </w:rPr>
            </w:pPr>
            <w:r w:rsidRPr="00820AF8">
              <w:rPr>
                <w:rFonts w:eastAsiaTheme="minorEastAsia"/>
                <w:szCs w:val="22"/>
                <w:lang w:eastAsia="en-AU"/>
              </w:rPr>
              <w:t xml:space="preserve"> 945.9</w:t>
            </w:r>
          </w:p>
        </w:tc>
        <w:tc>
          <w:tcPr>
            <w:tcW w:w="994" w:type="dxa"/>
            <w:tcBorders>
              <w:top w:val="single" w:sz="6" w:space="0" w:color="000000"/>
              <w:left w:val="nil"/>
              <w:bottom w:val="nil"/>
              <w:right w:val="nil"/>
            </w:tcBorders>
          </w:tcPr>
          <w:p w:rsidR="00F60B5F" w:rsidRPr="00820AF8" w:rsidRDefault="00F60B5F" w:rsidP="00376390">
            <w:pPr>
              <w:pStyle w:val="TableofFigures"/>
              <w:spacing w:before="20"/>
              <w:rPr>
                <w:rFonts w:eastAsiaTheme="minorEastAsia"/>
                <w:szCs w:val="22"/>
                <w:lang w:eastAsia="en-AU"/>
              </w:rPr>
            </w:pPr>
            <w:r w:rsidRPr="00820AF8">
              <w:rPr>
                <w:rFonts w:eastAsiaTheme="minorEastAsia"/>
                <w:szCs w:val="22"/>
                <w:lang w:eastAsia="en-AU"/>
              </w:rPr>
              <w:t>1 040.7</w:t>
            </w:r>
          </w:p>
        </w:tc>
        <w:tc>
          <w:tcPr>
            <w:tcW w:w="994" w:type="dxa"/>
            <w:tcBorders>
              <w:top w:val="single" w:sz="6" w:space="0" w:color="000000"/>
              <w:left w:val="nil"/>
              <w:bottom w:val="nil"/>
              <w:right w:val="nil"/>
            </w:tcBorders>
          </w:tcPr>
          <w:p w:rsidR="00F60B5F" w:rsidRPr="00820AF8" w:rsidRDefault="00F60B5F" w:rsidP="00376390">
            <w:pPr>
              <w:pStyle w:val="TableofFigures"/>
              <w:spacing w:before="20"/>
              <w:rPr>
                <w:rFonts w:eastAsiaTheme="minorEastAsia"/>
                <w:szCs w:val="22"/>
                <w:lang w:eastAsia="en-AU"/>
              </w:rPr>
            </w:pPr>
            <w:r w:rsidRPr="00820AF8">
              <w:rPr>
                <w:rFonts w:eastAsiaTheme="minorEastAsia"/>
                <w:szCs w:val="22"/>
                <w:lang w:eastAsia="en-AU"/>
              </w:rPr>
              <w:t>1 065.1</w:t>
            </w:r>
          </w:p>
        </w:tc>
        <w:tc>
          <w:tcPr>
            <w:tcW w:w="994" w:type="dxa"/>
            <w:tcBorders>
              <w:top w:val="single" w:sz="6" w:space="0" w:color="000000"/>
              <w:left w:val="nil"/>
              <w:bottom w:val="nil"/>
              <w:right w:val="nil"/>
            </w:tcBorders>
          </w:tcPr>
          <w:p w:rsidR="00F60B5F" w:rsidRPr="00820AF8" w:rsidRDefault="00F60B5F" w:rsidP="00376390">
            <w:pPr>
              <w:pStyle w:val="TableofFigures"/>
              <w:spacing w:before="20"/>
              <w:rPr>
                <w:rFonts w:eastAsiaTheme="minorEastAsia"/>
                <w:szCs w:val="22"/>
                <w:lang w:eastAsia="en-AU"/>
              </w:rPr>
            </w:pPr>
            <w:r w:rsidRPr="00820AF8">
              <w:rPr>
                <w:rFonts w:eastAsiaTheme="minorEastAsia"/>
                <w:szCs w:val="22"/>
                <w:lang w:eastAsia="en-AU"/>
              </w:rPr>
              <w:t>1 223.3</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Leasehold buildings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92.3</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95.1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94.7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94.9</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103.9</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Infrastructure systems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25.1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30.4</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30.9</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31.5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31.8</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Leased plant, equipment and vehicles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669.0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661.1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670.0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669.2</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665.8</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Road and road networks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569.3</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577.4</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585.8</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667.7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677.6</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Cultural assets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19.0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29.2</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19.2</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19.2</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19.2</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 xml:space="preserve">Intangible produced assets </w:t>
            </w:r>
            <w:r w:rsidRPr="00820AF8">
              <w:rPr>
                <w:rFonts w:eastAsiaTheme="minorEastAsia"/>
                <w:vertAlign w:val="superscript"/>
                <w:lang w:eastAsia="en-AU"/>
              </w:rPr>
              <w:t>(b)</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55.4</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69.8</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70.6</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72.0</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64.8</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depreciation</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2 377.7</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2 408.9</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2 511.9</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2 619.7</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2 786.4</w:t>
            </w:r>
          </w:p>
        </w:tc>
      </w:tr>
    </w:tbl>
    <w:p w:rsidR="00F60B5F" w:rsidRPr="00B56B1C" w:rsidRDefault="00F60B5F" w:rsidP="00B34ABB">
      <w:pPr>
        <w:pStyle w:val="Notes"/>
      </w:pPr>
      <w:r w:rsidRPr="00B56B1C">
        <w:t>Notes:</w:t>
      </w:r>
    </w:p>
    <w:p w:rsidR="00F60B5F" w:rsidRPr="00B56B1C" w:rsidRDefault="00F60B5F" w:rsidP="00B34ABB">
      <w:pPr>
        <w:pStyle w:val="Notes"/>
      </w:pPr>
      <w:r w:rsidRPr="00B56B1C">
        <w:t>(a)</w:t>
      </w:r>
      <w:r w:rsidRPr="00B56B1C">
        <w:tab/>
        <w:t>Includes estimated depreciation on amounts not yet allocated to projects in 2013</w:t>
      </w:r>
      <w:r>
        <w:noBreakHyphen/>
      </w:r>
      <w:r w:rsidRPr="00B56B1C">
        <w:t>14 to 2016</w:t>
      </w:r>
      <w:r>
        <w:noBreakHyphen/>
      </w:r>
      <w:r w:rsidRPr="00B56B1C">
        <w:t>17.</w:t>
      </w:r>
    </w:p>
    <w:p w:rsidR="00F60B5F" w:rsidRPr="00B56B1C" w:rsidRDefault="00F60B5F" w:rsidP="00B34ABB">
      <w:pPr>
        <w:pStyle w:val="Notes"/>
      </w:pPr>
      <w:r w:rsidRPr="00B56B1C">
        <w:t>(b)</w:t>
      </w:r>
      <w:r w:rsidRPr="00B56B1C">
        <w:tab/>
        <w:t>Amortisation of intangible non</w:t>
      </w:r>
      <w:r>
        <w:noBreakHyphen/>
      </w:r>
      <w:r w:rsidRPr="00B56B1C">
        <w:t xml:space="preserve"> produced assets is included under other gains/(losses) from other economic flows.</w:t>
      </w:r>
    </w:p>
    <w:p w:rsidR="00F60B5F" w:rsidRPr="00B56B1C" w:rsidRDefault="00F60B5F" w:rsidP="00172054"/>
    <w:p w:rsidR="00F60B5F" w:rsidRPr="00B56B1C" w:rsidRDefault="00F60B5F" w:rsidP="00F765CE">
      <w:pPr>
        <w:pStyle w:val="Heading2Notes"/>
      </w:pPr>
      <w:r w:rsidRPr="00B56B1C">
        <w:br w:type="page"/>
      </w:r>
      <w:bookmarkStart w:id="34" w:name="_Toc373751815"/>
      <w:r w:rsidRPr="00B56B1C">
        <w:t>Note 9:</w:t>
      </w:r>
      <w:r w:rsidRPr="00B56B1C">
        <w:tab/>
        <w:t>Interest expense</w:t>
      </w:r>
      <w:bookmarkEnd w:id="34"/>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Interest on long</w:t>
            </w:r>
            <w:r>
              <w:rPr>
                <w:rFonts w:eastAsiaTheme="minorEastAsia"/>
                <w:lang w:eastAsia="en-AU"/>
              </w:rPr>
              <w:noBreakHyphen/>
            </w:r>
            <w:r w:rsidRPr="00820AF8">
              <w:rPr>
                <w:rFonts w:eastAsiaTheme="minorEastAsia"/>
                <w:lang w:eastAsia="en-AU"/>
              </w:rPr>
              <w:t>term interest</w:t>
            </w:r>
            <w:r>
              <w:rPr>
                <w:rFonts w:eastAsiaTheme="minorEastAsia"/>
                <w:lang w:eastAsia="en-AU"/>
              </w:rPr>
              <w:noBreakHyphen/>
            </w:r>
            <w:r w:rsidRPr="00820AF8">
              <w:rPr>
                <w:rFonts w:eastAsiaTheme="minorEastAsia"/>
                <w:lang w:eastAsia="en-AU"/>
              </w:rPr>
              <w:t>bearing liabilities</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1 306.2</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1 298.5</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1 415.9</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1 454.7</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1 389.5</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Interest on short</w:t>
            </w:r>
            <w:r>
              <w:rPr>
                <w:rFonts w:eastAsiaTheme="minorEastAsia"/>
                <w:lang w:eastAsia="en-AU"/>
              </w:rPr>
              <w:noBreakHyphen/>
            </w:r>
            <w:r w:rsidRPr="00820AF8">
              <w:rPr>
                <w:rFonts w:eastAsiaTheme="minorEastAsia"/>
                <w:lang w:eastAsia="en-AU"/>
              </w:rPr>
              <w:t>term interest</w:t>
            </w:r>
            <w:r>
              <w:rPr>
                <w:rFonts w:eastAsiaTheme="minorEastAsia"/>
                <w:lang w:eastAsia="en-AU"/>
              </w:rPr>
              <w:noBreakHyphen/>
            </w:r>
            <w:r w:rsidRPr="00820AF8">
              <w:rPr>
                <w:rFonts w:eastAsiaTheme="minorEastAsia"/>
                <w:lang w:eastAsia="en-AU"/>
              </w:rPr>
              <w:t>bearing liabilities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52.7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50.8</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53.0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53.1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53.1</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Finance charges on finance leases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774.4</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775.1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766.2</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735.0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823.9</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Discount interest on payables</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43.6</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43.6</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41.0</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38.0</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36.8</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interest expense</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2 176.9</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2 168.0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2 276.0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2 280.8</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2 303.3</w:t>
            </w:r>
          </w:p>
        </w:tc>
      </w:tr>
    </w:tbl>
    <w:p w:rsidR="00F60B5F" w:rsidRDefault="00F60B5F" w:rsidP="00172054"/>
    <w:p w:rsidR="00F60B5F" w:rsidRPr="00B56B1C" w:rsidRDefault="00F60B5F" w:rsidP="00172054"/>
    <w:p w:rsidR="00F60B5F" w:rsidRPr="00B56B1C" w:rsidRDefault="00F60B5F" w:rsidP="000E3D4D">
      <w:pPr>
        <w:pStyle w:val="Heading2Notes"/>
      </w:pPr>
      <w:bookmarkStart w:id="35" w:name="_Toc373751816"/>
      <w:r w:rsidRPr="00B56B1C">
        <w:t>Note 10:</w:t>
      </w:r>
      <w:r w:rsidRPr="00B56B1C">
        <w:tab/>
        <w:t>Grants and other transfers</w:t>
      </w:r>
      <w:bookmarkEnd w:id="35"/>
    </w:p>
    <w:p w:rsidR="00F60B5F" w:rsidRPr="005E4BE9" w:rsidRDefault="00F60B5F" w:rsidP="00820AF8">
      <w:pPr>
        <w:pStyle w:val="million"/>
      </w:pPr>
      <w:r w:rsidRPr="00B56B1C">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527"/>
        <w:gridCol w:w="846"/>
        <w:gridCol w:w="847"/>
        <w:gridCol w:w="846"/>
        <w:gridCol w:w="847"/>
        <w:gridCol w:w="847"/>
      </w:tblGrid>
      <w:tr w:rsidR="00F60B5F" w:rsidRPr="005E4BE9" w:rsidTr="005E4BE9">
        <w:trPr>
          <w:cantSplit/>
          <w:tblHeader/>
        </w:trPr>
        <w:tc>
          <w:tcPr>
            <w:tcW w:w="3527" w:type="dxa"/>
            <w:tcBorders>
              <w:top w:val="single" w:sz="6" w:space="0" w:color="auto"/>
              <w:left w:val="single" w:sz="6" w:space="0" w:color="auto"/>
              <w:bottom w:val="nil"/>
              <w:right w:val="nil"/>
            </w:tcBorders>
            <w:shd w:val="clear" w:color="000000" w:fill="000000"/>
          </w:tcPr>
          <w:p w:rsidR="00F60B5F" w:rsidRPr="005E4BE9" w:rsidRDefault="00F60B5F" w:rsidP="005E4BE9">
            <w:pPr>
              <w:pStyle w:val="Tabletext"/>
              <w:rPr>
                <w:rFonts w:eastAsiaTheme="minorEastAsia"/>
                <w:lang w:eastAsia="en-AU"/>
              </w:rPr>
            </w:pPr>
            <w:r w:rsidRPr="005E4BE9">
              <w:rPr>
                <w:rFonts w:eastAsiaTheme="minorEastAsia"/>
                <w:lang w:eastAsia="en-AU"/>
              </w:rPr>
              <w:t xml:space="preserve"> </w:t>
            </w:r>
          </w:p>
        </w:tc>
        <w:tc>
          <w:tcPr>
            <w:tcW w:w="846" w:type="dxa"/>
            <w:tcBorders>
              <w:top w:val="single" w:sz="6" w:space="0" w:color="auto"/>
              <w:left w:val="nil"/>
              <w:bottom w:val="nil"/>
              <w:right w:val="nil"/>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2013</w:t>
            </w:r>
            <w:r>
              <w:rPr>
                <w:rFonts w:eastAsiaTheme="minorEastAsia"/>
                <w:iCs/>
                <w:color w:val="FFFFFF"/>
                <w:lang w:eastAsia="en-AU"/>
              </w:rPr>
              <w:noBreakHyphen/>
            </w:r>
            <w:r w:rsidRPr="005E4BE9">
              <w:rPr>
                <w:rFonts w:eastAsiaTheme="minorEastAsia"/>
                <w:iCs/>
                <w:color w:val="FFFFFF"/>
                <w:lang w:eastAsia="en-AU"/>
              </w:rPr>
              <w:t>14</w:t>
            </w:r>
          </w:p>
        </w:tc>
        <w:tc>
          <w:tcPr>
            <w:tcW w:w="847" w:type="dxa"/>
            <w:tcBorders>
              <w:top w:val="single" w:sz="6" w:space="0" w:color="auto"/>
              <w:left w:val="nil"/>
              <w:bottom w:val="nil"/>
              <w:right w:val="nil"/>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2013</w:t>
            </w:r>
            <w:r>
              <w:rPr>
                <w:rFonts w:eastAsiaTheme="minorEastAsia"/>
                <w:iCs/>
                <w:color w:val="FFFFFF"/>
                <w:lang w:eastAsia="en-AU"/>
              </w:rPr>
              <w:noBreakHyphen/>
            </w:r>
            <w:r w:rsidRPr="005E4BE9">
              <w:rPr>
                <w:rFonts w:eastAsiaTheme="minorEastAsia"/>
                <w:iCs/>
                <w:color w:val="FFFFFF"/>
                <w:lang w:eastAsia="en-AU"/>
              </w:rPr>
              <w:t>14</w:t>
            </w:r>
          </w:p>
        </w:tc>
        <w:tc>
          <w:tcPr>
            <w:tcW w:w="846" w:type="dxa"/>
            <w:tcBorders>
              <w:top w:val="single" w:sz="6" w:space="0" w:color="auto"/>
              <w:left w:val="nil"/>
              <w:bottom w:val="nil"/>
              <w:right w:val="nil"/>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2014</w:t>
            </w:r>
            <w:r>
              <w:rPr>
                <w:rFonts w:eastAsiaTheme="minorEastAsia"/>
                <w:iCs/>
                <w:color w:val="FFFFFF"/>
                <w:lang w:eastAsia="en-AU"/>
              </w:rPr>
              <w:noBreakHyphen/>
            </w:r>
            <w:r w:rsidRPr="005E4BE9">
              <w:rPr>
                <w:rFonts w:eastAsiaTheme="minorEastAsia"/>
                <w:iCs/>
                <w:color w:val="FFFFFF"/>
                <w:lang w:eastAsia="en-AU"/>
              </w:rPr>
              <w:t>15</w:t>
            </w:r>
          </w:p>
        </w:tc>
        <w:tc>
          <w:tcPr>
            <w:tcW w:w="847" w:type="dxa"/>
            <w:tcBorders>
              <w:top w:val="single" w:sz="6" w:space="0" w:color="auto"/>
              <w:left w:val="nil"/>
              <w:bottom w:val="nil"/>
              <w:right w:val="nil"/>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2015</w:t>
            </w:r>
            <w:r>
              <w:rPr>
                <w:rFonts w:eastAsiaTheme="minorEastAsia"/>
                <w:iCs/>
                <w:color w:val="FFFFFF"/>
                <w:lang w:eastAsia="en-AU"/>
              </w:rPr>
              <w:noBreakHyphen/>
            </w:r>
            <w:r w:rsidRPr="005E4BE9">
              <w:rPr>
                <w:rFonts w:eastAsiaTheme="minorEastAsia"/>
                <w:iCs/>
                <w:color w:val="FFFFFF"/>
                <w:lang w:eastAsia="en-AU"/>
              </w:rPr>
              <w:t>16</w:t>
            </w:r>
          </w:p>
        </w:tc>
        <w:tc>
          <w:tcPr>
            <w:tcW w:w="847" w:type="dxa"/>
            <w:tcBorders>
              <w:top w:val="single" w:sz="6" w:space="0" w:color="auto"/>
              <w:left w:val="nil"/>
              <w:bottom w:val="nil"/>
              <w:right w:val="single" w:sz="6" w:space="0" w:color="auto"/>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2016</w:t>
            </w:r>
            <w:r>
              <w:rPr>
                <w:rFonts w:eastAsiaTheme="minorEastAsia"/>
                <w:iCs/>
                <w:color w:val="FFFFFF"/>
                <w:lang w:eastAsia="en-AU"/>
              </w:rPr>
              <w:noBreakHyphen/>
            </w:r>
            <w:r w:rsidRPr="005E4BE9">
              <w:rPr>
                <w:rFonts w:eastAsiaTheme="minorEastAsia"/>
                <w:iCs/>
                <w:color w:val="FFFFFF"/>
                <w:lang w:eastAsia="en-AU"/>
              </w:rPr>
              <w:t>17</w:t>
            </w:r>
          </w:p>
        </w:tc>
      </w:tr>
      <w:tr w:rsidR="00F60B5F" w:rsidRPr="005E4BE9" w:rsidTr="005E4BE9">
        <w:trPr>
          <w:cantSplit/>
          <w:tblHeader/>
        </w:trPr>
        <w:tc>
          <w:tcPr>
            <w:tcW w:w="3527" w:type="dxa"/>
            <w:tcBorders>
              <w:top w:val="nil"/>
              <w:left w:val="single" w:sz="6" w:space="0" w:color="auto"/>
              <w:bottom w:val="single" w:sz="6" w:space="0" w:color="auto"/>
              <w:right w:val="nil"/>
            </w:tcBorders>
            <w:shd w:val="clear" w:color="000000" w:fill="000000"/>
          </w:tcPr>
          <w:p w:rsidR="00F60B5F" w:rsidRPr="005E4BE9" w:rsidRDefault="00F60B5F" w:rsidP="005E4BE9">
            <w:pPr>
              <w:pStyle w:val="Tabletext"/>
              <w:rPr>
                <w:rFonts w:eastAsiaTheme="minorEastAsia"/>
                <w:lang w:eastAsia="en-AU"/>
              </w:rPr>
            </w:pPr>
            <w:r w:rsidRPr="005E4BE9">
              <w:rPr>
                <w:rFonts w:eastAsiaTheme="minorEastAsia"/>
                <w:lang w:eastAsia="en-AU"/>
              </w:rPr>
              <w:t xml:space="preserve"> </w:t>
            </w:r>
          </w:p>
        </w:tc>
        <w:tc>
          <w:tcPr>
            <w:tcW w:w="846" w:type="dxa"/>
            <w:tcBorders>
              <w:top w:val="nil"/>
              <w:left w:val="nil"/>
              <w:bottom w:val="single" w:sz="6" w:space="0" w:color="auto"/>
              <w:right w:val="nil"/>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Budget</w:t>
            </w:r>
          </w:p>
        </w:tc>
        <w:tc>
          <w:tcPr>
            <w:tcW w:w="847" w:type="dxa"/>
            <w:tcBorders>
              <w:top w:val="nil"/>
              <w:left w:val="nil"/>
              <w:bottom w:val="single" w:sz="6" w:space="0" w:color="auto"/>
              <w:right w:val="nil"/>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Revised</w:t>
            </w:r>
          </w:p>
        </w:tc>
        <w:tc>
          <w:tcPr>
            <w:tcW w:w="846" w:type="dxa"/>
            <w:tcBorders>
              <w:top w:val="nil"/>
              <w:left w:val="nil"/>
              <w:bottom w:val="single" w:sz="6" w:space="0" w:color="auto"/>
              <w:right w:val="nil"/>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Estimate</w:t>
            </w:r>
          </w:p>
        </w:tc>
        <w:tc>
          <w:tcPr>
            <w:tcW w:w="847" w:type="dxa"/>
            <w:tcBorders>
              <w:top w:val="nil"/>
              <w:left w:val="nil"/>
              <w:bottom w:val="single" w:sz="6" w:space="0" w:color="auto"/>
              <w:right w:val="nil"/>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Estimate</w:t>
            </w:r>
          </w:p>
        </w:tc>
        <w:tc>
          <w:tcPr>
            <w:tcW w:w="847" w:type="dxa"/>
            <w:tcBorders>
              <w:top w:val="nil"/>
              <w:left w:val="nil"/>
              <w:bottom w:val="single" w:sz="6" w:space="0" w:color="auto"/>
              <w:right w:val="single" w:sz="6" w:space="0" w:color="auto"/>
            </w:tcBorders>
            <w:shd w:val="clear" w:color="000000" w:fill="000000"/>
          </w:tcPr>
          <w:p w:rsidR="00F60B5F" w:rsidRPr="005E4BE9" w:rsidRDefault="00F60B5F" w:rsidP="005E4BE9">
            <w:pPr>
              <w:pStyle w:val="Tabletextheading"/>
              <w:rPr>
                <w:rFonts w:eastAsiaTheme="minorEastAsia"/>
                <w:iCs/>
                <w:color w:val="FFFFFF"/>
                <w:lang w:eastAsia="en-AU"/>
              </w:rPr>
            </w:pPr>
            <w:r w:rsidRPr="005E4BE9">
              <w:rPr>
                <w:rFonts w:eastAsiaTheme="minorEastAsia"/>
                <w:iCs/>
                <w:color w:val="FFFFFF"/>
                <w:lang w:eastAsia="en-AU"/>
              </w:rPr>
              <w:t>Estimate</w:t>
            </w:r>
          </w:p>
        </w:tc>
      </w:tr>
      <w:tr w:rsidR="00F60B5F" w:rsidRPr="005E4BE9" w:rsidTr="005E4BE9">
        <w:trPr>
          <w:cantSplit/>
        </w:trPr>
        <w:tc>
          <w:tcPr>
            <w:tcW w:w="3527" w:type="dxa"/>
            <w:tcBorders>
              <w:top w:val="single" w:sz="6" w:space="0" w:color="auto"/>
              <w:left w:val="nil"/>
              <w:bottom w:val="nil"/>
              <w:right w:val="nil"/>
            </w:tcBorders>
          </w:tcPr>
          <w:p w:rsidR="00F60B5F" w:rsidRPr="005E4BE9" w:rsidRDefault="00F60B5F" w:rsidP="005E4BE9">
            <w:pPr>
              <w:pStyle w:val="Tabletext"/>
              <w:rPr>
                <w:rFonts w:eastAsiaTheme="minorEastAsia"/>
                <w:b/>
                <w:bCs/>
                <w:lang w:eastAsia="en-AU"/>
              </w:rPr>
            </w:pPr>
            <w:r w:rsidRPr="005E4BE9">
              <w:rPr>
                <w:rFonts w:eastAsiaTheme="minorEastAsia"/>
                <w:b/>
                <w:bCs/>
                <w:lang w:eastAsia="en-AU"/>
              </w:rPr>
              <w:t>Current grants and other transfers expense</w:t>
            </w:r>
          </w:p>
        </w:tc>
        <w:tc>
          <w:tcPr>
            <w:tcW w:w="846" w:type="dxa"/>
            <w:tcBorders>
              <w:top w:val="single" w:sz="6" w:space="0" w:color="auto"/>
              <w:left w:val="nil"/>
              <w:bottom w:val="nil"/>
              <w:right w:val="nil"/>
            </w:tcBorders>
          </w:tcPr>
          <w:p w:rsidR="00F60B5F" w:rsidRPr="005E4BE9" w:rsidRDefault="00F60B5F" w:rsidP="005E4BE9">
            <w:pPr>
              <w:pStyle w:val="TableofFigures"/>
              <w:rPr>
                <w:rFonts w:eastAsiaTheme="minorEastAsia"/>
                <w:b/>
                <w:szCs w:val="22"/>
                <w:lang w:eastAsia="en-AU"/>
              </w:rPr>
            </w:pPr>
            <w:r w:rsidRPr="005E4BE9">
              <w:rPr>
                <w:rFonts w:eastAsiaTheme="minorEastAsia"/>
                <w:b/>
                <w:szCs w:val="22"/>
                <w:lang w:eastAsia="en-AU"/>
              </w:rPr>
              <w:t xml:space="preserve"> </w:t>
            </w:r>
          </w:p>
        </w:tc>
        <w:tc>
          <w:tcPr>
            <w:tcW w:w="847" w:type="dxa"/>
            <w:tcBorders>
              <w:top w:val="single" w:sz="6" w:space="0" w:color="auto"/>
              <w:left w:val="nil"/>
              <w:bottom w:val="nil"/>
              <w:right w:val="nil"/>
            </w:tcBorders>
          </w:tcPr>
          <w:p w:rsidR="00F60B5F" w:rsidRPr="005E4BE9" w:rsidRDefault="00F60B5F" w:rsidP="005E4BE9">
            <w:pPr>
              <w:pStyle w:val="TableofFigures"/>
              <w:rPr>
                <w:rFonts w:eastAsiaTheme="minorEastAsia"/>
                <w:b/>
                <w:szCs w:val="22"/>
                <w:lang w:eastAsia="en-AU"/>
              </w:rPr>
            </w:pPr>
            <w:r w:rsidRPr="005E4BE9">
              <w:rPr>
                <w:rFonts w:eastAsiaTheme="minorEastAsia"/>
                <w:b/>
                <w:szCs w:val="22"/>
                <w:lang w:eastAsia="en-AU"/>
              </w:rPr>
              <w:t xml:space="preserve"> </w:t>
            </w:r>
          </w:p>
        </w:tc>
        <w:tc>
          <w:tcPr>
            <w:tcW w:w="846" w:type="dxa"/>
            <w:tcBorders>
              <w:top w:val="single" w:sz="6" w:space="0" w:color="auto"/>
              <w:left w:val="nil"/>
              <w:bottom w:val="nil"/>
              <w:right w:val="nil"/>
            </w:tcBorders>
          </w:tcPr>
          <w:p w:rsidR="00F60B5F" w:rsidRPr="005E4BE9" w:rsidRDefault="00F60B5F" w:rsidP="005E4BE9">
            <w:pPr>
              <w:pStyle w:val="TableofFigures"/>
              <w:rPr>
                <w:rFonts w:eastAsiaTheme="minorEastAsia"/>
                <w:b/>
                <w:szCs w:val="22"/>
                <w:lang w:eastAsia="en-AU"/>
              </w:rPr>
            </w:pPr>
            <w:r w:rsidRPr="005E4BE9">
              <w:rPr>
                <w:rFonts w:eastAsiaTheme="minorEastAsia"/>
                <w:b/>
                <w:szCs w:val="22"/>
                <w:lang w:eastAsia="en-AU"/>
              </w:rPr>
              <w:t xml:space="preserve"> </w:t>
            </w:r>
          </w:p>
        </w:tc>
        <w:tc>
          <w:tcPr>
            <w:tcW w:w="847" w:type="dxa"/>
            <w:tcBorders>
              <w:top w:val="single" w:sz="6" w:space="0" w:color="auto"/>
              <w:left w:val="nil"/>
              <w:bottom w:val="nil"/>
              <w:right w:val="nil"/>
            </w:tcBorders>
          </w:tcPr>
          <w:p w:rsidR="00F60B5F" w:rsidRPr="005E4BE9" w:rsidRDefault="00F60B5F" w:rsidP="005E4BE9">
            <w:pPr>
              <w:pStyle w:val="TableofFigures"/>
              <w:rPr>
                <w:rFonts w:eastAsiaTheme="minorEastAsia"/>
                <w:b/>
                <w:szCs w:val="22"/>
                <w:lang w:eastAsia="en-AU"/>
              </w:rPr>
            </w:pPr>
            <w:r w:rsidRPr="005E4BE9">
              <w:rPr>
                <w:rFonts w:eastAsiaTheme="minorEastAsia"/>
                <w:b/>
                <w:szCs w:val="22"/>
                <w:lang w:eastAsia="en-AU"/>
              </w:rPr>
              <w:t xml:space="preserve"> </w:t>
            </w:r>
          </w:p>
        </w:tc>
        <w:tc>
          <w:tcPr>
            <w:tcW w:w="847" w:type="dxa"/>
            <w:tcBorders>
              <w:top w:val="single" w:sz="6" w:space="0" w:color="auto"/>
              <w:left w:val="nil"/>
              <w:bottom w:val="nil"/>
              <w:right w:val="nil"/>
            </w:tcBorders>
          </w:tcPr>
          <w:p w:rsidR="00F60B5F" w:rsidRPr="005E4BE9" w:rsidRDefault="00F60B5F" w:rsidP="005E4BE9">
            <w:pPr>
              <w:pStyle w:val="TableofFigures"/>
              <w:rPr>
                <w:rFonts w:eastAsiaTheme="minorEastAsia"/>
                <w:b/>
                <w:szCs w:val="22"/>
                <w:lang w:eastAsia="en-AU"/>
              </w:rPr>
            </w:pPr>
            <w:r w:rsidRPr="005E4BE9">
              <w:rPr>
                <w:rFonts w:eastAsiaTheme="minorEastAsia"/>
                <w:b/>
                <w:szCs w:val="22"/>
                <w:lang w:eastAsia="en-AU"/>
              </w:rPr>
              <w:t xml:space="preserve"> </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Commonwealth Government</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170.7</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182.0</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165.7</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199.1</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202.3</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Local government (including grants for on</w:t>
            </w:r>
            <w:r>
              <w:rPr>
                <w:rFonts w:eastAsiaTheme="minorEastAsia"/>
                <w:lang w:eastAsia="en-AU"/>
              </w:rPr>
              <w:noBreakHyphen/>
            </w:r>
            <w:r w:rsidRPr="005E4BE9">
              <w:rPr>
                <w:rFonts w:eastAsiaTheme="minorEastAsia"/>
                <w:lang w:eastAsia="en-AU"/>
              </w:rPr>
              <w:t>passing)</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781.8</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642.8</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788.6</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745.1</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740.3</w:t>
            </w:r>
          </w:p>
        </w:tc>
      </w:tr>
      <w:tr w:rsidR="00F60B5F" w:rsidRPr="005E4BE9" w:rsidTr="005E4BE9">
        <w:trPr>
          <w:cantSplit/>
        </w:trPr>
        <w:tc>
          <w:tcPr>
            <w:tcW w:w="3527" w:type="dxa"/>
            <w:tcBorders>
              <w:top w:val="nil"/>
              <w:left w:val="nil"/>
              <w:bottom w:val="nil"/>
              <w:right w:val="nil"/>
            </w:tcBorders>
            <w:shd w:val="clear" w:color="auto" w:fill="auto"/>
          </w:tcPr>
          <w:p w:rsidR="00F60B5F" w:rsidRPr="005E4BE9" w:rsidRDefault="00F60B5F" w:rsidP="005E4BE9">
            <w:pPr>
              <w:pStyle w:val="Tabletext"/>
              <w:rPr>
                <w:rFonts w:eastAsiaTheme="minorEastAsia"/>
                <w:vertAlign w:val="superscript"/>
                <w:lang w:eastAsia="en-AU"/>
              </w:rPr>
            </w:pPr>
            <w:r w:rsidRPr="005E4BE9">
              <w:rPr>
                <w:rFonts w:eastAsiaTheme="minorEastAsia"/>
                <w:lang w:eastAsia="en-AU"/>
              </w:rPr>
              <w:t>Private sector and not</w:t>
            </w:r>
            <w:r>
              <w:rPr>
                <w:rFonts w:eastAsiaTheme="minorEastAsia"/>
                <w:lang w:eastAsia="en-AU"/>
              </w:rPr>
              <w:noBreakHyphen/>
            </w:r>
            <w:r w:rsidRPr="005E4BE9">
              <w:rPr>
                <w:rFonts w:eastAsiaTheme="minorEastAsia"/>
                <w:lang w:eastAsia="en-AU"/>
              </w:rPr>
              <w:t>for</w:t>
            </w:r>
            <w:r>
              <w:rPr>
                <w:rFonts w:eastAsiaTheme="minorEastAsia"/>
                <w:lang w:eastAsia="en-AU"/>
              </w:rPr>
              <w:noBreakHyphen/>
            </w:r>
            <w:r w:rsidRPr="005E4BE9">
              <w:rPr>
                <w:rFonts w:eastAsiaTheme="minorEastAsia"/>
                <w:lang w:eastAsia="en-AU"/>
              </w:rPr>
              <w:t>profit for on</w:t>
            </w:r>
            <w:r>
              <w:rPr>
                <w:rFonts w:eastAsiaTheme="minorEastAsia"/>
                <w:lang w:eastAsia="en-AU"/>
              </w:rPr>
              <w:noBreakHyphen/>
            </w:r>
            <w:r w:rsidRPr="005E4BE9">
              <w:rPr>
                <w:rFonts w:eastAsiaTheme="minorEastAsia"/>
                <w:lang w:eastAsia="en-AU"/>
              </w:rPr>
              <w:t xml:space="preserve">passing </w:t>
            </w:r>
            <w:r w:rsidRPr="005E4BE9">
              <w:rPr>
                <w:rFonts w:eastAsiaTheme="minorEastAsia"/>
                <w:vertAlign w:val="superscript"/>
                <w:lang w:eastAsia="en-AU"/>
              </w:rPr>
              <w:t>(a)</w:t>
            </w:r>
          </w:p>
        </w:tc>
        <w:tc>
          <w:tcPr>
            <w:tcW w:w="846"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2 450.5</w:t>
            </w:r>
          </w:p>
        </w:tc>
        <w:tc>
          <w:tcPr>
            <w:tcW w:w="847"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2 433.1</w:t>
            </w:r>
          </w:p>
        </w:tc>
        <w:tc>
          <w:tcPr>
            <w:tcW w:w="846"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2 613.8</w:t>
            </w:r>
          </w:p>
        </w:tc>
        <w:tc>
          <w:tcPr>
            <w:tcW w:w="847"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2 809.4</w:t>
            </w:r>
          </w:p>
        </w:tc>
        <w:tc>
          <w:tcPr>
            <w:tcW w:w="847"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2 809.4</w:t>
            </w:r>
          </w:p>
        </w:tc>
      </w:tr>
      <w:tr w:rsidR="00F60B5F" w:rsidRPr="005E4BE9" w:rsidTr="005E4BE9">
        <w:trPr>
          <w:cantSplit/>
        </w:trPr>
        <w:tc>
          <w:tcPr>
            <w:tcW w:w="3527" w:type="dxa"/>
            <w:tcBorders>
              <w:top w:val="nil"/>
              <w:left w:val="nil"/>
              <w:bottom w:val="nil"/>
              <w:right w:val="nil"/>
            </w:tcBorders>
            <w:shd w:val="clear" w:color="auto" w:fill="auto"/>
          </w:tcPr>
          <w:p w:rsidR="00F60B5F" w:rsidRPr="005E4BE9" w:rsidRDefault="00F60B5F" w:rsidP="005E4BE9">
            <w:pPr>
              <w:pStyle w:val="Tabletext"/>
              <w:rPr>
                <w:rFonts w:eastAsiaTheme="minorEastAsia"/>
                <w:vertAlign w:val="superscript"/>
                <w:lang w:eastAsia="en-AU"/>
              </w:rPr>
            </w:pPr>
            <w:r w:rsidRPr="005E4BE9">
              <w:rPr>
                <w:rFonts w:eastAsiaTheme="minorEastAsia"/>
                <w:lang w:eastAsia="en-AU"/>
              </w:rPr>
              <w:t>Other private sector and not</w:t>
            </w:r>
            <w:r>
              <w:rPr>
                <w:rFonts w:eastAsiaTheme="minorEastAsia"/>
                <w:lang w:eastAsia="en-AU"/>
              </w:rPr>
              <w:noBreakHyphen/>
            </w:r>
            <w:r w:rsidRPr="005E4BE9">
              <w:rPr>
                <w:rFonts w:eastAsiaTheme="minorEastAsia"/>
                <w:lang w:eastAsia="en-AU"/>
              </w:rPr>
              <w:t>for</w:t>
            </w:r>
            <w:r>
              <w:rPr>
                <w:rFonts w:eastAsiaTheme="minorEastAsia"/>
                <w:lang w:eastAsia="en-AU"/>
              </w:rPr>
              <w:noBreakHyphen/>
            </w:r>
            <w:r w:rsidRPr="005E4BE9">
              <w:rPr>
                <w:rFonts w:eastAsiaTheme="minorEastAsia"/>
                <w:lang w:eastAsia="en-AU"/>
              </w:rPr>
              <w:t xml:space="preserve">profit </w:t>
            </w:r>
            <w:r w:rsidRPr="005E4BE9">
              <w:rPr>
                <w:rFonts w:eastAsiaTheme="minorEastAsia"/>
                <w:vertAlign w:val="superscript"/>
                <w:lang w:eastAsia="en-AU"/>
              </w:rPr>
              <w:t>(a)</w:t>
            </w:r>
          </w:p>
        </w:tc>
        <w:tc>
          <w:tcPr>
            <w:tcW w:w="846"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1 658.9</w:t>
            </w:r>
          </w:p>
        </w:tc>
        <w:tc>
          <w:tcPr>
            <w:tcW w:w="847"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1 534.9</w:t>
            </w:r>
          </w:p>
        </w:tc>
        <w:tc>
          <w:tcPr>
            <w:tcW w:w="846"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1 598.9</w:t>
            </w:r>
          </w:p>
        </w:tc>
        <w:tc>
          <w:tcPr>
            <w:tcW w:w="847"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1 675.3</w:t>
            </w:r>
          </w:p>
        </w:tc>
        <w:tc>
          <w:tcPr>
            <w:tcW w:w="847" w:type="dxa"/>
            <w:tcBorders>
              <w:top w:val="nil"/>
              <w:left w:val="nil"/>
              <w:bottom w:val="nil"/>
              <w:right w:val="nil"/>
            </w:tcBorders>
            <w:shd w:val="clear" w:color="auto" w:fill="auto"/>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2 015.9</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Grants within the Victorian Government</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2 767.7</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2 829.9</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2 891.4</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2 847.8</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2 857.5</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Grants to other state governments</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11.3</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13.4</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10.7</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11.0</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11.0</w:t>
            </w:r>
          </w:p>
        </w:tc>
      </w:tr>
      <w:tr w:rsidR="00F60B5F" w:rsidRPr="005E4BE9" w:rsidTr="005E4BE9">
        <w:trPr>
          <w:cantSplit/>
        </w:trPr>
        <w:tc>
          <w:tcPr>
            <w:tcW w:w="3527" w:type="dxa"/>
            <w:tcBorders>
              <w:top w:val="single" w:sz="6" w:space="0" w:color="auto"/>
              <w:left w:val="nil"/>
              <w:bottom w:val="single" w:sz="6" w:space="0" w:color="auto"/>
              <w:right w:val="nil"/>
            </w:tcBorders>
          </w:tcPr>
          <w:p w:rsidR="00F60B5F" w:rsidRPr="005E4BE9" w:rsidRDefault="00F60B5F" w:rsidP="005E4BE9">
            <w:pPr>
              <w:pStyle w:val="Tabletext"/>
              <w:rPr>
                <w:rFonts w:eastAsiaTheme="minorEastAsia"/>
                <w:b/>
                <w:bCs/>
                <w:lang w:eastAsia="en-AU"/>
              </w:rPr>
            </w:pPr>
            <w:r w:rsidRPr="005E4BE9">
              <w:rPr>
                <w:rFonts w:eastAsiaTheme="minorEastAsia"/>
                <w:b/>
                <w:bCs/>
                <w:lang w:eastAsia="en-AU"/>
              </w:rPr>
              <w:t>Total current grants and other transfers</w:t>
            </w:r>
          </w:p>
        </w:tc>
        <w:tc>
          <w:tcPr>
            <w:tcW w:w="846"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7 841.0</w:t>
            </w:r>
          </w:p>
        </w:tc>
        <w:tc>
          <w:tcPr>
            <w:tcW w:w="847"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7 636.1</w:t>
            </w:r>
          </w:p>
        </w:tc>
        <w:tc>
          <w:tcPr>
            <w:tcW w:w="846"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8 069.1</w:t>
            </w:r>
          </w:p>
        </w:tc>
        <w:tc>
          <w:tcPr>
            <w:tcW w:w="847"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8 287.7</w:t>
            </w:r>
          </w:p>
        </w:tc>
        <w:tc>
          <w:tcPr>
            <w:tcW w:w="847"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8 636.4</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b/>
                <w:bCs/>
                <w:lang w:eastAsia="en-AU"/>
              </w:rPr>
            </w:pPr>
            <w:r w:rsidRPr="005E4BE9">
              <w:rPr>
                <w:rFonts w:eastAsiaTheme="minorEastAsia"/>
                <w:b/>
                <w:bCs/>
                <w:lang w:eastAsia="en-AU"/>
              </w:rPr>
              <w:t>Capital grants expense</w:t>
            </w:r>
          </w:p>
        </w:tc>
        <w:tc>
          <w:tcPr>
            <w:tcW w:w="846" w:type="dxa"/>
            <w:tcBorders>
              <w:top w:val="nil"/>
              <w:left w:val="nil"/>
              <w:bottom w:val="nil"/>
              <w:right w:val="nil"/>
            </w:tcBorders>
          </w:tcPr>
          <w:p w:rsidR="00F60B5F" w:rsidRPr="005E4BE9" w:rsidRDefault="00F60B5F" w:rsidP="005E4BE9">
            <w:pPr>
              <w:pStyle w:val="TableofFigures"/>
              <w:rPr>
                <w:rFonts w:eastAsiaTheme="minorEastAsia"/>
                <w:b/>
                <w:lang w:eastAsia="en-AU"/>
              </w:rPr>
            </w:pPr>
            <w:r w:rsidRPr="005E4BE9">
              <w:rPr>
                <w:rFonts w:eastAsiaTheme="minorEastAsia"/>
                <w:b/>
                <w:lang w:eastAsia="en-AU"/>
              </w:rPr>
              <w:t xml:space="preserve"> </w:t>
            </w:r>
          </w:p>
        </w:tc>
        <w:tc>
          <w:tcPr>
            <w:tcW w:w="847" w:type="dxa"/>
            <w:tcBorders>
              <w:top w:val="nil"/>
              <w:left w:val="nil"/>
              <w:bottom w:val="nil"/>
              <w:right w:val="nil"/>
            </w:tcBorders>
          </w:tcPr>
          <w:p w:rsidR="00F60B5F" w:rsidRPr="005E4BE9" w:rsidRDefault="00F60B5F" w:rsidP="005E4BE9">
            <w:pPr>
              <w:pStyle w:val="TableofFigures"/>
              <w:rPr>
                <w:rFonts w:eastAsiaTheme="minorEastAsia"/>
                <w:b/>
                <w:lang w:eastAsia="en-AU"/>
              </w:rPr>
            </w:pPr>
            <w:r w:rsidRPr="005E4BE9">
              <w:rPr>
                <w:rFonts w:eastAsiaTheme="minorEastAsia"/>
                <w:b/>
                <w:lang w:eastAsia="en-AU"/>
              </w:rPr>
              <w:t xml:space="preserve"> </w:t>
            </w:r>
          </w:p>
        </w:tc>
        <w:tc>
          <w:tcPr>
            <w:tcW w:w="846" w:type="dxa"/>
            <w:tcBorders>
              <w:top w:val="nil"/>
              <w:left w:val="nil"/>
              <w:bottom w:val="nil"/>
              <w:right w:val="nil"/>
            </w:tcBorders>
          </w:tcPr>
          <w:p w:rsidR="00F60B5F" w:rsidRPr="005E4BE9" w:rsidRDefault="00F60B5F" w:rsidP="005E4BE9">
            <w:pPr>
              <w:pStyle w:val="TableofFigures"/>
              <w:rPr>
                <w:rFonts w:eastAsiaTheme="minorEastAsia"/>
                <w:b/>
                <w:lang w:eastAsia="en-AU"/>
              </w:rPr>
            </w:pPr>
            <w:r w:rsidRPr="005E4BE9">
              <w:rPr>
                <w:rFonts w:eastAsiaTheme="minorEastAsia"/>
                <w:b/>
                <w:lang w:eastAsia="en-AU"/>
              </w:rPr>
              <w:t xml:space="preserve"> </w:t>
            </w:r>
          </w:p>
        </w:tc>
        <w:tc>
          <w:tcPr>
            <w:tcW w:w="847" w:type="dxa"/>
            <w:tcBorders>
              <w:top w:val="nil"/>
              <w:left w:val="nil"/>
              <w:bottom w:val="nil"/>
              <w:right w:val="nil"/>
            </w:tcBorders>
          </w:tcPr>
          <w:p w:rsidR="00F60B5F" w:rsidRPr="005E4BE9" w:rsidRDefault="00F60B5F" w:rsidP="005E4BE9">
            <w:pPr>
              <w:pStyle w:val="TableofFigures"/>
              <w:rPr>
                <w:rFonts w:eastAsiaTheme="minorEastAsia"/>
                <w:b/>
                <w:lang w:eastAsia="en-AU"/>
              </w:rPr>
            </w:pPr>
            <w:r w:rsidRPr="005E4BE9">
              <w:rPr>
                <w:rFonts w:eastAsiaTheme="minorEastAsia"/>
                <w:b/>
                <w:lang w:eastAsia="en-AU"/>
              </w:rPr>
              <w:t xml:space="preserve"> </w:t>
            </w:r>
          </w:p>
        </w:tc>
        <w:tc>
          <w:tcPr>
            <w:tcW w:w="847" w:type="dxa"/>
            <w:tcBorders>
              <w:top w:val="nil"/>
              <w:left w:val="nil"/>
              <w:bottom w:val="nil"/>
              <w:right w:val="nil"/>
            </w:tcBorders>
          </w:tcPr>
          <w:p w:rsidR="00F60B5F" w:rsidRPr="005E4BE9" w:rsidRDefault="00F60B5F" w:rsidP="005E4BE9">
            <w:pPr>
              <w:pStyle w:val="TableofFigures"/>
              <w:rPr>
                <w:rFonts w:eastAsiaTheme="minorEastAsia"/>
                <w:b/>
                <w:lang w:eastAsia="en-AU"/>
              </w:rPr>
            </w:pPr>
            <w:r w:rsidRPr="005E4BE9">
              <w:rPr>
                <w:rFonts w:eastAsiaTheme="minorEastAsia"/>
                <w:b/>
                <w:lang w:eastAsia="en-AU"/>
              </w:rPr>
              <w:t xml:space="preserve"> </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Commonwealth Government</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0.3</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1.7</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0.2</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0.2</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0.2</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Local government (including grants for on</w:t>
            </w:r>
            <w:r>
              <w:rPr>
                <w:rFonts w:eastAsiaTheme="minorEastAsia"/>
                <w:lang w:eastAsia="en-AU"/>
              </w:rPr>
              <w:noBreakHyphen/>
            </w:r>
            <w:r w:rsidRPr="005E4BE9">
              <w:rPr>
                <w:rFonts w:eastAsiaTheme="minorEastAsia"/>
                <w:lang w:eastAsia="en-AU"/>
              </w:rPr>
              <w:t>passing)</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77.3</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71.7</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74.9</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29.5</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35.8</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Private sector and not</w:t>
            </w:r>
            <w:r>
              <w:rPr>
                <w:rFonts w:eastAsiaTheme="minorEastAsia"/>
                <w:lang w:eastAsia="en-AU"/>
              </w:rPr>
              <w:noBreakHyphen/>
            </w:r>
            <w:r w:rsidRPr="005E4BE9">
              <w:rPr>
                <w:rFonts w:eastAsiaTheme="minorEastAsia"/>
                <w:lang w:eastAsia="en-AU"/>
              </w:rPr>
              <w:t>for</w:t>
            </w:r>
            <w:r>
              <w:rPr>
                <w:rFonts w:eastAsiaTheme="minorEastAsia"/>
                <w:lang w:eastAsia="en-AU"/>
              </w:rPr>
              <w:noBreakHyphen/>
            </w:r>
            <w:r w:rsidRPr="005E4BE9">
              <w:rPr>
                <w:rFonts w:eastAsiaTheme="minorEastAsia"/>
                <w:lang w:eastAsia="en-AU"/>
              </w:rPr>
              <w:t>profit on</w:t>
            </w:r>
            <w:r>
              <w:rPr>
                <w:rFonts w:eastAsiaTheme="minorEastAsia"/>
                <w:lang w:eastAsia="en-AU"/>
              </w:rPr>
              <w:noBreakHyphen/>
            </w:r>
            <w:r w:rsidRPr="005E4BE9">
              <w:rPr>
                <w:rFonts w:eastAsiaTheme="minorEastAsia"/>
                <w:lang w:eastAsia="en-AU"/>
              </w:rPr>
              <w:t>passing</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69.7</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69.7</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50.9</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30.8</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27.2</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Other private sector and not</w:t>
            </w:r>
            <w:r>
              <w:rPr>
                <w:rFonts w:eastAsiaTheme="minorEastAsia"/>
                <w:lang w:eastAsia="en-AU"/>
              </w:rPr>
              <w:noBreakHyphen/>
            </w:r>
            <w:r w:rsidRPr="005E4BE9">
              <w:rPr>
                <w:rFonts w:eastAsiaTheme="minorEastAsia"/>
                <w:lang w:eastAsia="en-AU"/>
              </w:rPr>
              <w:t>for</w:t>
            </w:r>
            <w:r>
              <w:rPr>
                <w:rFonts w:eastAsiaTheme="minorEastAsia"/>
                <w:lang w:eastAsia="en-AU"/>
              </w:rPr>
              <w:noBreakHyphen/>
            </w:r>
            <w:r w:rsidRPr="005E4BE9">
              <w:rPr>
                <w:rFonts w:eastAsiaTheme="minorEastAsia"/>
                <w:lang w:eastAsia="en-AU"/>
              </w:rPr>
              <w:t>profit</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3.5</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3.7</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3.7</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3.7</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4.2</w:t>
            </w:r>
          </w:p>
        </w:tc>
      </w:tr>
      <w:tr w:rsidR="00F60B5F" w:rsidRPr="005E4BE9" w:rsidTr="005E4BE9">
        <w:trPr>
          <w:cantSplit/>
        </w:trPr>
        <w:tc>
          <w:tcPr>
            <w:tcW w:w="3527" w:type="dxa"/>
            <w:tcBorders>
              <w:top w:val="nil"/>
              <w:left w:val="nil"/>
              <w:bottom w:val="nil"/>
              <w:right w:val="nil"/>
            </w:tcBorders>
          </w:tcPr>
          <w:p w:rsidR="00F60B5F" w:rsidRPr="005E4BE9" w:rsidRDefault="00F60B5F" w:rsidP="005E4BE9">
            <w:pPr>
              <w:pStyle w:val="Tabletext"/>
              <w:rPr>
                <w:rFonts w:eastAsiaTheme="minorEastAsia"/>
                <w:lang w:eastAsia="en-AU"/>
              </w:rPr>
            </w:pPr>
            <w:r w:rsidRPr="005E4BE9">
              <w:rPr>
                <w:rFonts w:eastAsiaTheme="minorEastAsia"/>
                <w:lang w:eastAsia="en-AU"/>
              </w:rPr>
              <w:t>Other grants</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5.5</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5.5</w:t>
            </w:r>
          </w:p>
        </w:tc>
        <w:tc>
          <w:tcPr>
            <w:tcW w:w="846"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17.0</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0.5</w:t>
            </w:r>
          </w:p>
        </w:tc>
        <w:tc>
          <w:tcPr>
            <w:tcW w:w="847" w:type="dxa"/>
            <w:tcBorders>
              <w:top w:val="nil"/>
              <w:left w:val="nil"/>
              <w:bottom w:val="nil"/>
              <w:right w:val="nil"/>
            </w:tcBorders>
          </w:tcPr>
          <w:p w:rsidR="00F60B5F" w:rsidRPr="005E4BE9" w:rsidRDefault="00F60B5F" w:rsidP="005E4BE9">
            <w:pPr>
              <w:pStyle w:val="TableofFigures"/>
              <w:rPr>
                <w:rFonts w:eastAsiaTheme="minorEastAsia"/>
                <w:szCs w:val="22"/>
                <w:lang w:eastAsia="en-AU"/>
              </w:rPr>
            </w:pPr>
            <w:r w:rsidRPr="005E4BE9">
              <w:rPr>
                <w:rFonts w:eastAsiaTheme="minorEastAsia"/>
                <w:szCs w:val="22"/>
                <w:lang w:eastAsia="en-AU"/>
              </w:rPr>
              <w:t xml:space="preserve"> 0.5</w:t>
            </w:r>
          </w:p>
        </w:tc>
      </w:tr>
      <w:tr w:rsidR="00F60B5F" w:rsidRPr="005E4BE9" w:rsidTr="005E4BE9">
        <w:trPr>
          <w:cantSplit/>
        </w:trPr>
        <w:tc>
          <w:tcPr>
            <w:tcW w:w="3527" w:type="dxa"/>
            <w:tcBorders>
              <w:top w:val="single" w:sz="6" w:space="0" w:color="auto"/>
              <w:left w:val="nil"/>
              <w:bottom w:val="single" w:sz="6" w:space="0" w:color="auto"/>
              <w:right w:val="nil"/>
            </w:tcBorders>
          </w:tcPr>
          <w:p w:rsidR="00F60B5F" w:rsidRPr="005E4BE9" w:rsidRDefault="00F60B5F" w:rsidP="005E4BE9">
            <w:pPr>
              <w:pStyle w:val="Tabletext"/>
              <w:rPr>
                <w:rFonts w:eastAsiaTheme="minorEastAsia"/>
                <w:b/>
                <w:bCs/>
                <w:lang w:eastAsia="en-AU"/>
              </w:rPr>
            </w:pPr>
            <w:r w:rsidRPr="005E4BE9">
              <w:rPr>
                <w:rFonts w:eastAsiaTheme="minorEastAsia"/>
                <w:b/>
                <w:bCs/>
                <w:lang w:eastAsia="en-AU"/>
              </w:rPr>
              <w:t>Total capital grants and other transfers</w:t>
            </w:r>
          </w:p>
        </w:tc>
        <w:tc>
          <w:tcPr>
            <w:tcW w:w="846"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 xml:space="preserve"> 156.4</w:t>
            </w:r>
          </w:p>
        </w:tc>
        <w:tc>
          <w:tcPr>
            <w:tcW w:w="847"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 xml:space="preserve"> 152.3</w:t>
            </w:r>
          </w:p>
        </w:tc>
        <w:tc>
          <w:tcPr>
            <w:tcW w:w="846"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 xml:space="preserve"> 146.7</w:t>
            </w:r>
          </w:p>
        </w:tc>
        <w:tc>
          <w:tcPr>
            <w:tcW w:w="847"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 xml:space="preserve"> 64.7</w:t>
            </w:r>
          </w:p>
        </w:tc>
        <w:tc>
          <w:tcPr>
            <w:tcW w:w="847" w:type="dxa"/>
            <w:tcBorders>
              <w:top w:val="single" w:sz="6" w:space="0" w:color="auto"/>
              <w:left w:val="nil"/>
              <w:bottom w:val="single" w:sz="6" w:space="0" w:color="auto"/>
              <w:right w:val="nil"/>
            </w:tcBorders>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 xml:space="preserve"> 68.0</w:t>
            </w:r>
          </w:p>
        </w:tc>
      </w:tr>
      <w:tr w:rsidR="00F60B5F" w:rsidRPr="005E4BE9" w:rsidTr="005E4BE9">
        <w:trPr>
          <w:cantSplit/>
        </w:trPr>
        <w:tc>
          <w:tcPr>
            <w:tcW w:w="3527" w:type="dxa"/>
            <w:tcBorders>
              <w:top w:val="single" w:sz="6" w:space="0" w:color="auto"/>
              <w:left w:val="nil"/>
              <w:bottom w:val="single" w:sz="12" w:space="0" w:color="000000"/>
              <w:right w:val="nil"/>
            </w:tcBorders>
            <w:shd w:val="clear" w:color="auto" w:fill="auto"/>
          </w:tcPr>
          <w:p w:rsidR="00F60B5F" w:rsidRPr="005E4BE9" w:rsidRDefault="00F60B5F" w:rsidP="005E4BE9">
            <w:pPr>
              <w:pStyle w:val="Tabletext"/>
              <w:rPr>
                <w:rFonts w:eastAsiaTheme="minorEastAsia"/>
                <w:b/>
                <w:bCs/>
                <w:lang w:eastAsia="en-AU"/>
              </w:rPr>
            </w:pPr>
            <w:r w:rsidRPr="005E4BE9">
              <w:rPr>
                <w:rFonts w:eastAsiaTheme="minorEastAsia"/>
                <w:b/>
                <w:bCs/>
                <w:lang w:eastAsia="en-AU"/>
              </w:rPr>
              <w:t>Total grants and other transfers</w:t>
            </w:r>
          </w:p>
        </w:tc>
        <w:tc>
          <w:tcPr>
            <w:tcW w:w="846" w:type="dxa"/>
            <w:tcBorders>
              <w:top w:val="single" w:sz="6" w:space="0" w:color="auto"/>
              <w:left w:val="nil"/>
              <w:bottom w:val="single" w:sz="12" w:space="0" w:color="000000"/>
              <w:right w:val="nil"/>
            </w:tcBorders>
            <w:shd w:val="clear" w:color="auto" w:fill="auto"/>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7 997.4</w:t>
            </w:r>
          </w:p>
        </w:tc>
        <w:tc>
          <w:tcPr>
            <w:tcW w:w="847" w:type="dxa"/>
            <w:tcBorders>
              <w:top w:val="single" w:sz="6" w:space="0" w:color="auto"/>
              <w:left w:val="nil"/>
              <w:bottom w:val="single" w:sz="12" w:space="0" w:color="000000"/>
              <w:right w:val="nil"/>
            </w:tcBorders>
            <w:shd w:val="clear" w:color="auto" w:fill="auto"/>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7 788.4</w:t>
            </w:r>
          </w:p>
        </w:tc>
        <w:tc>
          <w:tcPr>
            <w:tcW w:w="846" w:type="dxa"/>
            <w:tcBorders>
              <w:top w:val="single" w:sz="6" w:space="0" w:color="auto"/>
              <w:left w:val="nil"/>
              <w:bottom w:val="single" w:sz="12" w:space="0" w:color="000000"/>
              <w:right w:val="nil"/>
            </w:tcBorders>
            <w:shd w:val="clear" w:color="auto" w:fill="auto"/>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8 215.8</w:t>
            </w:r>
          </w:p>
        </w:tc>
        <w:tc>
          <w:tcPr>
            <w:tcW w:w="847" w:type="dxa"/>
            <w:tcBorders>
              <w:top w:val="single" w:sz="6" w:space="0" w:color="auto"/>
              <w:left w:val="nil"/>
              <w:bottom w:val="single" w:sz="12" w:space="0" w:color="000000"/>
              <w:right w:val="nil"/>
            </w:tcBorders>
            <w:shd w:val="clear" w:color="auto" w:fill="auto"/>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8 352.4</w:t>
            </w:r>
          </w:p>
        </w:tc>
        <w:tc>
          <w:tcPr>
            <w:tcW w:w="847" w:type="dxa"/>
            <w:tcBorders>
              <w:top w:val="single" w:sz="6" w:space="0" w:color="auto"/>
              <w:left w:val="nil"/>
              <w:bottom w:val="single" w:sz="12" w:space="0" w:color="000000"/>
              <w:right w:val="nil"/>
            </w:tcBorders>
            <w:shd w:val="clear" w:color="auto" w:fill="auto"/>
          </w:tcPr>
          <w:p w:rsidR="00F60B5F" w:rsidRPr="005E4BE9" w:rsidRDefault="00F60B5F" w:rsidP="005E4BE9">
            <w:pPr>
              <w:pStyle w:val="TableofFigures"/>
              <w:rPr>
                <w:rFonts w:eastAsiaTheme="minorEastAsia"/>
                <w:b/>
                <w:bCs/>
                <w:szCs w:val="22"/>
                <w:lang w:eastAsia="en-AU"/>
              </w:rPr>
            </w:pPr>
            <w:r w:rsidRPr="005E4BE9">
              <w:rPr>
                <w:rFonts w:eastAsiaTheme="minorEastAsia"/>
                <w:b/>
                <w:bCs/>
                <w:szCs w:val="22"/>
                <w:lang w:eastAsia="en-AU"/>
              </w:rPr>
              <w:t>8 704.3</w:t>
            </w:r>
          </w:p>
        </w:tc>
      </w:tr>
    </w:tbl>
    <w:p w:rsidR="00F60B5F" w:rsidRPr="00B56B1C" w:rsidRDefault="00F60B5F" w:rsidP="005E4BE9">
      <w:pPr>
        <w:pStyle w:val="Notes"/>
      </w:pPr>
      <w:r w:rsidRPr="00B56B1C">
        <w:t>Note:</w:t>
      </w:r>
    </w:p>
    <w:p w:rsidR="00F60B5F" w:rsidRPr="00B56B1C" w:rsidRDefault="00F60B5F" w:rsidP="005E4BE9">
      <w:pPr>
        <w:pStyle w:val="Notes"/>
      </w:pPr>
      <w:r>
        <w:t>(a)</w:t>
      </w:r>
      <w:r>
        <w:tab/>
        <w:t>Grants have been reallocated from ’private sector and not for profit for on</w:t>
      </w:r>
      <w:r>
        <w:noBreakHyphen/>
        <w:t>passing’ to ’other private sector and not for profit’ restating the estimate for the 2013</w:t>
      </w:r>
      <w:r>
        <w:noBreakHyphen/>
        <w:t>14 published budget.</w:t>
      </w:r>
    </w:p>
    <w:p w:rsidR="00F60B5F" w:rsidRDefault="00F60B5F">
      <w:pPr>
        <w:spacing w:after="0"/>
        <w:rPr>
          <w:rFonts w:ascii="Calibri" w:hAnsi="Calibri"/>
          <w:b/>
          <w:kern w:val="28"/>
          <w:sz w:val="26"/>
          <w:szCs w:val="22"/>
        </w:rPr>
      </w:pPr>
      <w:r>
        <w:br w:type="page"/>
      </w:r>
    </w:p>
    <w:p w:rsidR="00F60B5F" w:rsidRPr="00B56B1C" w:rsidRDefault="00F60B5F" w:rsidP="00C54DC6">
      <w:pPr>
        <w:pStyle w:val="Heading2Notes"/>
      </w:pPr>
      <w:bookmarkStart w:id="36" w:name="_Toc373751817"/>
      <w:r w:rsidRPr="00B56B1C">
        <w:t>Note 11:</w:t>
      </w:r>
      <w:r w:rsidRPr="00B56B1C">
        <w:tab/>
        <w:t>Other operating expenses</w:t>
      </w:r>
      <w:bookmarkEnd w:id="36"/>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Purchase of supplies and consumables</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7 640.3</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7 497.6</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7 758.4</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7 678.2</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8 051.9</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Cost of goods sold</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178.7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179.1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13.8</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14.1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14.2</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Finance expenses and fees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24.3</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24.5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21.1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20.8</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20.7</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Purchase of services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7 037.5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7 296.0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7 126.0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6 863.5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6 934.6</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Maintenance</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821.1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830.4</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824.9</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820.7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826.9</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Operating lease payments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231.8</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256.7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264.1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255.0</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256.9</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639.2</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639.3</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675.5</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704.7</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733.9</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 xml:space="preserve">Total other operating expenses </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16 573.0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16 723.5</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16 683.9</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16 357.1</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16 839.0</w:t>
            </w:r>
          </w:p>
        </w:tc>
      </w:tr>
    </w:tbl>
    <w:p w:rsidR="00F60B5F" w:rsidRDefault="00F60B5F" w:rsidP="00172054"/>
    <w:p w:rsidR="00F60B5F" w:rsidRPr="00B56B1C" w:rsidRDefault="00F60B5F" w:rsidP="00172054"/>
    <w:p w:rsidR="00F60B5F" w:rsidRPr="00B56B1C" w:rsidRDefault="00F60B5F" w:rsidP="00C54DC6">
      <w:pPr>
        <w:pStyle w:val="Heading2Notes"/>
      </w:pPr>
      <w:bookmarkStart w:id="37" w:name="_Toc373751818"/>
      <w:r w:rsidRPr="00B56B1C">
        <w:t>Note 12:</w:t>
      </w:r>
      <w:r w:rsidRPr="00B56B1C">
        <w:tab/>
        <w:t>Total expenses by government purpose and by department</w:t>
      </w:r>
      <w:bookmarkEnd w:id="37"/>
    </w:p>
    <w:p w:rsidR="00F60B5F" w:rsidRPr="00B56B1C" w:rsidRDefault="00F60B5F" w:rsidP="00C54DC6">
      <w:pPr>
        <w:pStyle w:val="Heading5"/>
      </w:pPr>
      <w:r w:rsidRPr="00B56B1C">
        <w:t>(a)</w:t>
      </w:r>
      <w:r w:rsidRPr="00B56B1C">
        <w:tab/>
        <w:t>Expenses by government purpose classification</w:t>
      </w:r>
    </w:p>
    <w:p w:rsidR="00F60B5F" w:rsidRPr="00BA572A" w:rsidRDefault="00F60B5F" w:rsidP="00BA572A">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954"/>
        <w:gridCol w:w="955"/>
        <w:gridCol w:w="954"/>
        <w:gridCol w:w="955"/>
        <w:gridCol w:w="955"/>
      </w:tblGrid>
      <w:tr w:rsidR="00F60B5F" w:rsidRPr="00BA572A" w:rsidTr="00BA572A">
        <w:tc>
          <w:tcPr>
            <w:tcW w:w="2987" w:type="dxa"/>
            <w:tcBorders>
              <w:top w:val="single" w:sz="6" w:space="0" w:color="000000"/>
              <w:left w:val="single" w:sz="6" w:space="0" w:color="000000"/>
              <w:bottom w:val="nil"/>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 xml:space="preserve">  </w:t>
            </w:r>
          </w:p>
        </w:tc>
        <w:tc>
          <w:tcPr>
            <w:tcW w:w="954"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2013</w:t>
            </w:r>
            <w:r>
              <w:rPr>
                <w:rFonts w:eastAsiaTheme="minorEastAsia"/>
                <w:color w:val="FFFFFF"/>
                <w:lang w:eastAsia="en-AU"/>
              </w:rPr>
              <w:noBreakHyphen/>
            </w:r>
            <w:r w:rsidRPr="00BA572A">
              <w:rPr>
                <w:rFonts w:eastAsiaTheme="minorEastAsia"/>
                <w:color w:val="FFFFFF"/>
                <w:lang w:eastAsia="en-AU"/>
              </w:rPr>
              <w:t>14</w:t>
            </w:r>
          </w:p>
        </w:tc>
        <w:tc>
          <w:tcPr>
            <w:tcW w:w="955"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2013</w:t>
            </w:r>
            <w:r>
              <w:rPr>
                <w:rFonts w:eastAsiaTheme="minorEastAsia"/>
                <w:color w:val="FFFFFF"/>
                <w:lang w:eastAsia="en-AU"/>
              </w:rPr>
              <w:noBreakHyphen/>
            </w:r>
            <w:r w:rsidRPr="00BA572A">
              <w:rPr>
                <w:rFonts w:eastAsiaTheme="minorEastAsia"/>
                <w:color w:val="FFFFFF"/>
                <w:lang w:eastAsia="en-AU"/>
              </w:rPr>
              <w:t>14</w:t>
            </w:r>
          </w:p>
        </w:tc>
        <w:tc>
          <w:tcPr>
            <w:tcW w:w="954"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2014</w:t>
            </w:r>
            <w:r>
              <w:rPr>
                <w:rFonts w:eastAsiaTheme="minorEastAsia"/>
                <w:color w:val="FFFFFF"/>
                <w:lang w:eastAsia="en-AU"/>
              </w:rPr>
              <w:noBreakHyphen/>
            </w:r>
            <w:r w:rsidRPr="00BA572A">
              <w:rPr>
                <w:rFonts w:eastAsiaTheme="minorEastAsia"/>
                <w:color w:val="FFFFFF"/>
                <w:lang w:eastAsia="en-AU"/>
              </w:rPr>
              <w:t>15</w:t>
            </w:r>
          </w:p>
        </w:tc>
        <w:tc>
          <w:tcPr>
            <w:tcW w:w="955"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2015</w:t>
            </w:r>
            <w:r>
              <w:rPr>
                <w:rFonts w:eastAsiaTheme="minorEastAsia"/>
                <w:color w:val="FFFFFF"/>
                <w:lang w:eastAsia="en-AU"/>
              </w:rPr>
              <w:noBreakHyphen/>
            </w:r>
            <w:r w:rsidRPr="00BA572A">
              <w:rPr>
                <w:rFonts w:eastAsiaTheme="minorEastAsia"/>
                <w:color w:val="FFFFFF"/>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2016</w:t>
            </w:r>
            <w:r>
              <w:rPr>
                <w:rFonts w:eastAsiaTheme="minorEastAsia"/>
                <w:color w:val="FFFFFF"/>
                <w:lang w:eastAsia="en-AU"/>
              </w:rPr>
              <w:noBreakHyphen/>
            </w:r>
            <w:r w:rsidRPr="00BA572A">
              <w:rPr>
                <w:rFonts w:eastAsiaTheme="minorEastAsia"/>
                <w:color w:val="FFFFFF"/>
                <w:lang w:eastAsia="en-AU"/>
              </w:rPr>
              <w:t>17</w:t>
            </w:r>
          </w:p>
        </w:tc>
      </w:tr>
      <w:tr w:rsidR="00F60B5F" w:rsidRPr="00BA572A" w:rsidTr="00BA572A">
        <w:tc>
          <w:tcPr>
            <w:tcW w:w="2987" w:type="dxa"/>
            <w:tcBorders>
              <w:top w:val="nil"/>
              <w:left w:val="single" w:sz="6" w:space="0" w:color="000000"/>
              <w:bottom w:val="single" w:sz="6" w:space="0" w:color="000000"/>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 xml:space="preserve">  </w:t>
            </w:r>
          </w:p>
        </w:tc>
        <w:tc>
          <w:tcPr>
            <w:tcW w:w="954"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color w:val="FFFFFF"/>
                <w:vertAlign w:val="superscript"/>
                <w:lang w:eastAsia="en-AU"/>
              </w:rPr>
            </w:pPr>
            <w:r w:rsidRPr="00BA572A">
              <w:rPr>
                <w:rFonts w:eastAsiaTheme="minorEastAsia"/>
                <w:color w:val="FFFFFF"/>
                <w:lang w:eastAsia="en-AU"/>
              </w:rPr>
              <w:t>Budget</w:t>
            </w:r>
            <w:r>
              <w:rPr>
                <w:rFonts w:eastAsiaTheme="minorEastAsia"/>
                <w:color w:val="FFFFFF"/>
                <w:lang w:eastAsia="en-AU"/>
              </w:rPr>
              <w:t xml:space="preserve"> </w:t>
            </w:r>
            <w:r w:rsidRPr="00BA572A">
              <w:rPr>
                <w:rFonts w:eastAsiaTheme="minorEastAsia"/>
                <w:color w:val="FFFFFF"/>
                <w:vertAlign w:val="superscript"/>
                <w:lang w:eastAsia="en-AU"/>
              </w:rPr>
              <w:t>(a)</w:t>
            </w:r>
            <w:r w:rsidRPr="00BA572A">
              <w:rPr>
                <w:rFonts w:eastAsiaTheme="minorEastAsia"/>
                <w:color w:val="FFFFFF"/>
                <w:lang w:eastAsia="en-AU"/>
              </w:rPr>
              <w:t xml:space="preserve"> </w:t>
            </w:r>
          </w:p>
        </w:tc>
        <w:tc>
          <w:tcPr>
            <w:tcW w:w="955"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Revised</w:t>
            </w:r>
          </w:p>
        </w:tc>
        <w:tc>
          <w:tcPr>
            <w:tcW w:w="954"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Estimate</w:t>
            </w:r>
          </w:p>
        </w:tc>
        <w:tc>
          <w:tcPr>
            <w:tcW w:w="955"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BA572A" w:rsidRDefault="00F60B5F" w:rsidP="00BA572A">
            <w:pPr>
              <w:pStyle w:val="Tabletextheading"/>
              <w:rPr>
                <w:rFonts w:eastAsiaTheme="minorEastAsia"/>
                <w:color w:val="FFFFFF"/>
                <w:lang w:eastAsia="en-AU"/>
              </w:rPr>
            </w:pPr>
            <w:r w:rsidRPr="00BA572A">
              <w:rPr>
                <w:rFonts w:eastAsiaTheme="minorEastAsia"/>
                <w:color w:val="FFFFFF"/>
                <w:lang w:eastAsia="en-AU"/>
              </w:rPr>
              <w:t>Estimate</w:t>
            </w:r>
          </w:p>
        </w:tc>
      </w:tr>
      <w:tr w:rsidR="00F60B5F" w:rsidRPr="00BA572A" w:rsidTr="00BA572A">
        <w:tc>
          <w:tcPr>
            <w:tcW w:w="2987" w:type="dxa"/>
            <w:tcBorders>
              <w:top w:val="single" w:sz="6" w:space="0" w:color="000000"/>
              <w:left w:val="nil"/>
              <w:bottom w:val="nil"/>
              <w:right w:val="nil"/>
            </w:tcBorders>
          </w:tcPr>
          <w:p w:rsidR="00F60B5F" w:rsidRPr="00BA572A" w:rsidRDefault="00F60B5F" w:rsidP="00BA572A">
            <w:pPr>
              <w:pStyle w:val="Tabletext"/>
              <w:rPr>
                <w:rFonts w:eastAsiaTheme="minorEastAsia"/>
                <w:b/>
                <w:bCs/>
                <w:lang w:eastAsia="en-AU"/>
              </w:rPr>
            </w:pPr>
            <w:r w:rsidRPr="00BA572A">
              <w:rPr>
                <w:rFonts w:eastAsiaTheme="minorEastAsia"/>
                <w:b/>
                <w:bCs/>
                <w:lang w:eastAsia="en-AU"/>
              </w:rPr>
              <w:t>Expenses</w:t>
            </w:r>
          </w:p>
        </w:tc>
        <w:tc>
          <w:tcPr>
            <w:tcW w:w="954" w:type="dxa"/>
            <w:tcBorders>
              <w:top w:val="single" w:sz="6" w:space="0" w:color="000000"/>
              <w:left w:val="nil"/>
              <w:bottom w:val="nil"/>
              <w:right w:val="nil"/>
            </w:tcBorders>
          </w:tcPr>
          <w:p w:rsidR="00F60B5F" w:rsidRPr="00BA572A" w:rsidRDefault="00F60B5F" w:rsidP="00BA572A">
            <w:pPr>
              <w:pStyle w:val="TableofFigures"/>
              <w:rPr>
                <w:rFonts w:eastAsiaTheme="minorEastAsia"/>
                <w:b/>
                <w:lang w:eastAsia="en-AU"/>
              </w:rPr>
            </w:pPr>
            <w:r w:rsidRPr="00BA572A">
              <w:rPr>
                <w:rFonts w:eastAsiaTheme="minorEastAsia"/>
                <w:b/>
                <w:lang w:eastAsia="en-AU"/>
              </w:rPr>
              <w:t xml:space="preserve">  </w:t>
            </w:r>
          </w:p>
        </w:tc>
        <w:tc>
          <w:tcPr>
            <w:tcW w:w="955" w:type="dxa"/>
            <w:tcBorders>
              <w:top w:val="single" w:sz="6" w:space="0" w:color="000000"/>
              <w:left w:val="nil"/>
              <w:bottom w:val="nil"/>
              <w:right w:val="nil"/>
            </w:tcBorders>
          </w:tcPr>
          <w:p w:rsidR="00F60B5F" w:rsidRPr="00BA572A" w:rsidRDefault="00F60B5F" w:rsidP="00BA572A">
            <w:pPr>
              <w:pStyle w:val="TableofFigures"/>
              <w:rPr>
                <w:rFonts w:eastAsiaTheme="minorEastAsia"/>
                <w:b/>
                <w:lang w:eastAsia="en-AU"/>
              </w:rPr>
            </w:pPr>
            <w:r w:rsidRPr="00BA572A">
              <w:rPr>
                <w:rFonts w:eastAsiaTheme="minorEastAsia"/>
                <w:b/>
                <w:lang w:eastAsia="en-AU"/>
              </w:rPr>
              <w:t xml:space="preserve">  </w:t>
            </w:r>
          </w:p>
        </w:tc>
        <w:tc>
          <w:tcPr>
            <w:tcW w:w="954" w:type="dxa"/>
            <w:tcBorders>
              <w:top w:val="single" w:sz="6" w:space="0" w:color="000000"/>
              <w:left w:val="nil"/>
              <w:bottom w:val="nil"/>
              <w:right w:val="nil"/>
            </w:tcBorders>
          </w:tcPr>
          <w:p w:rsidR="00F60B5F" w:rsidRPr="00BA572A" w:rsidRDefault="00F60B5F" w:rsidP="00BA572A">
            <w:pPr>
              <w:pStyle w:val="TableofFigures"/>
              <w:rPr>
                <w:rFonts w:eastAsiaTheme="minorEastAsia"/>
                <w:b/>
                <w:lang w:eastAsia="en-AU"/>
              </w:rPr>
            </w:pPr>
            <w:r w:rsidRPr="00BA572A">
              <w:rPr>
                <w:rFonts w:eastAsiaTheme="minorEastAsia"/>
                <w:b/>
                <w:lang w:eastAsia="en-AU"/>
              </w:rPr>
              <w:t xml:space="preserve">    </w:t>
            </w:r>
          </w:p>
        </w:tc>
        <w:tc>
          <w:tcPr>
            <w:tcW w:w="955" w:type="dxa"/>
            <w:tcBorders>
              <w:top w:val="single" w:sz="6" w:space="0" w:color="000000"/>
              <w:left w:val="nil"/>
              <w:bottom w:val="nil"/>
              <w:right w:val="nil"/>
            </w:tcBorders>
          </w:tcPr>
          <w:p w:rsidR="00F60B5F" w:rsidRPr="00BA572A" w:rsidRDefault="00F60B5F" w:rsidP="00BA572A">
            <w:pPr>
              <w:pStyle w:val="TableofFigures"/>
              <w:rPr>
                <w:rFonts w:eastAsiaTheme="minorEastAsia"/>
                <w:b/>
                <w:lang w:eastAsia="en-AU"/>
              </w:rPr>
            </w:pPr>
            <w:r w:rsidRPr="00BA572A">
              <w:rPr>
                <w:rFonts w:eastAsiaTheme="minorEastAsia"/>
                <w:b/>
                <w:lang w:eastAsia="en-AU"/>
              </w:rPr>
              <w:t xml:space="preserve">    </w:t>
            </w:r>
          </w:p>
        </w:tc>
        <w:tc>
          <w:tcPr>
            <w:tcW w:w="955" w:type="dxa"/>
            <w:tcBorders>
              <w:top w:val="single" w:sz="6" w:space="0" w:color="000000"/>
              <w:left w:val="nil"/>
              <w:bottom w:val="nil"/>
              <w:right w:val="nil"/>
            </w:tcBorders>
          </w:tcPr>
          <w:p w:rsidR="00F60B5F" w:rsidRPr="00BA572A" w:rsidRDefault="00F60B5F" w:rsidP="00BA572A">
            <w:pPr>
              <w:pStyle w:val="TableofFigures"/>
              <w:rPr>
                <w:rFonts w:eastAsiaTheme="minorEastAsia"/>
                <w:b/>
                <w:lang w:eastAsia="en-AU"/>
              </w:rPr>
            </w:pPr>
            <w:r w:rsidRPr="00BA572A">
              <w:rPr>
                <w:rFonts w:eastAsiaTheme="minorEastAsia"/>
                <w:b/>
                <w:lang w:eastAsia="en-AU"/>
              </w:rPr>
              <w:t xml:space="preserve">    </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General public services</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 </w:t>
            </w:r>
            <w:r w:rsidRPr="00BA572A">
              <w:rPr>
                <w:rFonts w:eastAsiaTheme="minorEastAsia" w:cs="Calibri"/>
                <w:color w:val="000000"/>
                <w:lang w:eastAsia="en-AU"/>
              </w:rPr>
              <w:t>827.8</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 </w:t>
            </w:r>
            <w:r w:rsidRPr="00BA572A">
              <w:rPr>
                <w:rFonts w:eastAsiaTheme="minorEastAsia" w:cs="Calibri"/>
                <w:color w:val="000000"/>
                <w:lang w:eastAsia="en-AU"/>
              </w:rPr>
              <w:t>749.7</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 </w:t>
            </w:r>
            <w:r w:rsidRPr="00BA572A">
              <w:rPr>
                <w:rFonts w:eastAsiaTheme="minorEastAsia" w:cs="Calibri"/>
                <w:color w:val="000000"/>
                <w:lang w:eastAsia="en-AU"/>
              </w:rPr>
              <w:t>663.7</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 </w:t>
            </w:r>
            <w:r w:rsidRPr="00BA572A">
              <w:rPr>
                <w:rFonts w:eastAsiaTheme="minorEastAsia" w:cs="Calibri"/>
                <w:color w:val="000000"/>
                <w:lang w:eastAsia="en-AU"/>
              </w:rPr>
              <w:t>713.4</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 </w:t>
            </w:r>
            <w:r w:rsidRPr="00BA572A">
              <w:rPr>
                <w:rFonts w:eastAsiaTheme="minorEastAsia" w:cs="Calibri"/>
                <w:color w:val="000000"/>
                <w:lang w:eastAsia="en-AU"/>
              </w:rPr>
              <w:t>832.8</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Public order and safety</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5</w:t>
            </w:r>
            <w:r w:rsidRPr="00BA572A">
              <w:rPr>
                <w:rFonts w:eastAsiaTheme="minorEastAsia" w:cs="Calibri"/>
                <w:color w:val="000000"/>
                <w:lang w:eastAsia="en-AU"/>
              </w:rPr>
              <w:t xml:space="preserve"> 324.3</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5</w:t>
            </w:r>
            <w:r w:rsidRPr="00BA572A">
              <w:rPr>
                <w:rFonts w:eastAsiaTheme="minorEastAsia" w:cs="Calibri"/>
                <w:color w:val="000000"/>
                <w:lang w:eastAsia="en-AU"/>
              </w:rPr>
              <w:t xml:space="preserve"> 350.8</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5</w:t>
            </w:r>
            <w:r w:rsidRPr="00BA572A">
              <w:rPr>
                <w:rFonts w:eastAsiaTheme="minorEastAsia" w:cs="Calibri"/>
                <w:color w:val="000000"/>
                <w:lang w:eastAsia="en-AU"/>
              </w:rPr>
              <w:t xml:space="preserve"> 679.9</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5</w:t>
            </w:r>
            <w:r w:rsidRPr="00BA572A">
              <w:rPr>
                <w:rFonts w:eastAsiaTheme="minorEastAsia" w:cs="Calibri"/>
                <w:color w:val="000000"/>
                <w:lang w:eastAsia="en-AU"/>
              </w:rPr>
              <w:t xml:space="preserve"> 754.6</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5</w:t>
            </w:r>
            <w:r w:rsidRPr="00BA572A">
              <w:rPr>
                <w:rFonts w:eastAsiaTheme="minorEastAsia" w:cs="Calibri"/>
                <w:color w:val="000000"/>
                <w:lang w:eastAsia="en-AU"/>
              </w:rPr>
              <w:t xml:space="preserve"> 983.5</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Education</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12 </w:t>
            </w:r>
            <w:r w:rsidRPr="00BA572A">
              <w:rPr>
                <w:rFonts w:eastAsiaTheme="minorEastAsia" w:cs="Calibri"/>
                <w:lang w:eastAsia="en-AU"/>
              </w:rPr>
              <w:t>368.9</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12 </w:t>
            </w:r>
            <w:r w:rsidRPr="00BA572A">
              <w:rPr>
                <w:rFonts w:eastAsiaTheme="minorEastAsia" w:cs="Calibri"/>
                <w:lang w:eastAsia="en-AU"/>
              </w:rPr>
              <w:t>449.7</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12 </w:t>
            </w:r>
            <w:r w:rsidRPr="00BA572A">
              <w:rPr>
                <w:rFonts w:eastAsiaTheme="minorEastAsia" w:cs="Calibri"/>
                <w:lang w:eastAsia="en-AU"/>
              </w:rPr>
              <w:t>880.2</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13 </w:t>
            </w:r>
            <w:r w:rsidRPr="00BA572A">
              <w:rPr>
                <w:rFonts w:eastAsiaTheme="minorEastAsia" w:cs="Calibri"/>
                <w:lang w:eastAsia="en-AU"/>
              </w:rPr>
              <w:t>327.2</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13 </w:t>
            </w:r>
            <w:r w:rsidRPr="00BA572A">
              <w:rPr>
                <w:rFonts w:eastAsiaTheme="minorEastAsia" w:cs="Calibri"/>
                <w:lang w:eastAsia="en-AU"/>
              </w:rPr>
              <w:t>762.2</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Health</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13 </w:t>
            </w:r>
            <w:r w:rsidRPr="00BA572A">
              <w:rPr>
                <w:rFonts w:eastAsiaTheme="minorEastAsia" w:cs="Calibri"/>
                <w:lang w:eastAsia="en-AU"/>
              </w:rPr>
              <w:t>584.7</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13 </w:t>
            </w:r>
            <w:r w:rsidRPr="00BA572A">
              <w:rPr>
                <w:rFonts w:eastAsiaTheme="minorEastAsia" w:cs="Calibri"/>
                <w:lang w:eastAsia="en-AU"/>
              </w:rPr>
              <w:t>523.7</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14 </w:t>
            </w:r>
            <w:r w:rsidRPr="00BA572A">
              <w:rPr>
                <w:rFonts w:eastAsiaTheme="minorEastAsia" w:cs="Calibri"/>
                <w:lang w:eastAsia="en-AU"/>
              </w:rPr>
              <w:t>000.6</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14 </w:t>
            </w:r>
            <w:r w:rsidRPr="00BA572A">
              <w:rPr>
                <w:rFonts w:eastAsiaTheme="minorEastAsia" w:cs="Calibri"/>
                <w:lang w:eastAsia="en-AU"/>
              </w:rPr>
              <w:t>071.8</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14 </w:t>
            </w:r>
            <w:r w:rsidRPr="00BA572A">
              <w:rPr>
                <w:rFonts w:eastAsiaTheme="minorEastAsia" w:cs="Calibri"/>
                <w:lang w:eastAsia="en-AU"/>
              </w:rPr>
              <w:t>621.6</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Social security and welfare</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3 </w:t>
            </w:r>
            <w:r w:rsidRPr="00BA572A">
              <w:rPr>
                <w:rFonts w:eastAsiaTheme="minorEastAsia" w:cs="Calibri"/>
                <w:lang w:eastAsia="en-AU"/>
              </w:rPr>
              <w:t>978.5</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3 </w:t>
            </w:r>
            <w:r w:rsidRPr="00BA572A">
              <w:rPr>
                <w:rFonts w:eastAsiaTheme="minorEastAsia" w:cs="Calibri"/>
                <w:lang w:eastAsia="en-AU"/>
              </w:rPr>
              <w:t>947.4</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4 </w:t>
            </w:r>
            <w:r w:rsidRPr="00BA572A">
              <w:rPr>
                <w:rFonts w:eastAsiaTheme="minorEastAsia" w:cs="Calibri"/>
                <w:lang w:eastAsia="en-AU"/>
              </w:rPr>
              <w:t>090.2</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4 </w:t>
            </w:r>
            <w:r w:rsidRPr="00BA572A">
              <w:rPr>
                <w:rFonts w:eastAsiaTheme="minorEastAsia" w:cs="Calibri"/>
                <w:lang w:eastAsia="en-AU"/>
              </w:rPr>
              <w:t>250.9</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4 </w:t>
            </w:r>
            <w:r w:rsidRPr="00BA572A">
              <w:rPr>
                <w:rFonts w:eastAsiaTheme="minorEastAsia" w:cs="Calibri"/>
                <w:lang w:eastAsia="en-AU"/>
              </w:rPr>
              <w:t>442.6</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Housing and community amenities</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2 </w:t>
            </w:r>
            <w:r w:rsidRPr="00BA572A">
              <w:rPr>
                <w:rFonts w:eastAsiaTheme="minorEastAsia" w:cs="Calibri"/>
                <w:lang w:eastAsia="en-AU"/>
              </w:rPr>
              <w:t>351.7</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2 </w:t>
            </w:r>
            <w:r w:rsidRPr="00BA572A">
              <w:rPr>
                <w:rFonts w:eastAsiaTheme="minorEastAsia" w:cs="Calibri"/>
                <w:lang w:eastAsia="en-AU"/>
              </w:rPr>
              <w:t>167.4</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2 </w:t>
            </w:r>
            <w:r w:rsidRPr="00BA572A">
              <w:rPr>
                <w:rFonts w:eastAsiaTheme="minorEastAsia" w:cs="Calibri"/>
                <w:lang w:eastAsia="en-AU"/>
              </w:rPr>
              <w:t>417.1</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2 </w:t>
            </w:r>
            <w:r w:rsidRPr="00BA572A">
              <w:rPr>
                <w:rFonts w:eastAsiaTheme="minorEastAsia" w:cs="Calibri"/>
                <w:lang w:eastAsia="en-AU"/>
              </w:rPr>
              <w:t>375.0</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2 </w:t>
            </w:r>
            <w:r w:rsidRPr="00BA572A">
              <w:rPr>
                <w:rFonts w:eastAsiaTheme="minorEastAsia" w:cs="Calibri"/>
                <w:lang w:eastAsia="en-AU"/>
              </w:rPr>
              <w:t>368.9</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Recreation and culture</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649.9</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654.6</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651.3</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596.3</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625.5</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Fuel and energy</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231.4</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249.9</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177.9</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150.2</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136.3</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Agriculture, forestry, fishing, and hunting</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274.1</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284.9</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272.4</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263.0</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269.2</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Transport and communications</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5 </w:t>
            </w:r>
            <w:r w:rsidRPr="00BA572A">
              <w:rPr>
                <w:rFonts w:eastAsiaTheme="minorEastAsia" w:cs="Calibri"/>
                <w:lang w:eastAsia="en-AU"/>
              </w:rPr>
              <w:t>525.6</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5 </w:t>
            </w:r>
            <w:r w:rsidRPr="00BA572A">
              <w:rPr>
                <w:rFonts w:eastAsiaTheme="minorEastAsia" w:cs="Calibri"/>
                <w:lang w:eastAsia="en-AU"/>
              </w:rPr>
              <w:t>388.8</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5 </w:t>
            </w:r>
            <w:r w:rsidRPr="00BA572A">
              <w:rPr>
                <w:rFonts w:eastAsiaTheme="minorEastAsia" w:cs="Calibri"/>
                <w:lang w:eastAsia="en-AU"/>
              </w:rPr>
              <w:t>326.0</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5 </w:t>
            </w:r>
            <w:r w:rsidRPr="00BA572A">
              <w:rPr>
                <w:rFonts w:eastAsiaTheme="minorEastAsia" w:cs="Calibri"/>
                <w:lang w:eastAsia="en-AU"/>
              </w:rPr>
              <w:t>424.8</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5 </w:t>
            </w:r>
            <w:r w:rsidRPr="00BA572A">
              <w:rPr>
                <w:rFonts w:eastAsiaTheme="minorEastAsia" w:cs="Calibri"/>
                <w:lang w:eastAsia="en-AU"/>
              </w:rPr>
              <w:t>562.2</w:t>
            </w:r>
          </w:p>
        </w:tc>
      </w:tr>
      <w:tr w:rsidR="00F60B5F" w:rsidRPr="00BA572A" w:rsidTr="00BA572A">
        <w:tc>
          <w:tcPr>
            <w:tcW w:w="2987" w:type="dxa"/>
            <w:tcBorders>
              <w:top w:val="nil"/>
              <w:left w:val="nil"/>
              <w:bottom w:val="nil"/>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Other economic affairs</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1 </w:t>
            </w:r>
            <w:r w:rsidRPr="00BA572A">
              <w:rPr>
                <w:rFonts w:eastAsiaTheme="minorEastAsia" w:cs="Calibri"/>
                <w:lang w:eastAsia="en-AU"/>
              </w:rPr>
              <w:t>003.9</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1 </w:t>
            </w:r>
            <w:r w:rsidRPr="00BA572A">
              <w:rPr>
                <w:rFonts w:eastAsiaTheme="minorEastAsia" w:cs="Calibri"/>
                <w:lang w:eastAsia="en-AU"/>
              </w:rPr>
              <w:t>081.3</w:t>
            </w:r>
          </w:p>
        </w:tc>
        <w:tc>
          <w:tcPr>
            <w:tcW w:w="954"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797.9</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680.3</w:t>
            </w:r>
          </w:p>
        </w:tc>
        <w:tc>
          <w:tcPr>
            <w:tcW w:w="955" w:type="dxa"/>
            <w:tcBorders>
              <w:top w:val="nil"/>
              <w:left w:val="nil"/>
              <w:bottom w:val="nil"/>
              <w:right w:val="nil"/>
            </w:tcBorders>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629.4</w:t>
            </w:r>
          </w:p>
        </w:tc>
      </w:tr>
      <w:tr w:rsidR="00F60B5F" w:rsidRPr="00BA572A" w:rsidTr="00BA572A">
        <w:tc>
          <w:tcPr>
            <w:tcW w:w="2987" w:type="dxa"/>
            <w:tcBorders>
              <w:top w:val="nil"/>
              <w:left w:val="nil"/>
              <w:bottom w:val="single" w:sz="6" w:space="0" w:color="auto"/>
              <w:right w:val="nil"/>
            </w:tcBorders>
          </w:tcPr>
          <w:p w:rsidR="00F60B5F" w:rsidRPr="00BA572A" w:rsidRDefault="00F60B5F" w:rsidP="00BA572A">
            <w:pPr>
              <w:pStyle w:val="Tabletext"/>
              <w:rPr>
                <w:rFonts w:eastAsiaTheme="minorEastAsia"/>
                <w:lang w:eastAsia="en-AU"/>
              </w:rPr>
            </w:pPr>
            <w:r w:rsidRPr="00BA572A">
              <w:rPr>
                <w:rFonts w:eastAsiaTheme="minorEastAsia"/>
                <w:lang w:eastAsia="en-AU"/>
              </w:rPr>
              <w:t xml:space="preserve">Other purposes </w:t>
            </w:r>
          </w:p>
        </w:tc>
        <w:tc>
          <w:tcPr>
            <w:tcW w:w="954" w:type="dxa"/>
            <w:tcBorders>
              <w:top w:val="nil"/>
              <w:left w:val="nil"/>
              <w:bottom w:val="single" w:sz="6" w:space="0" w:color="auto"/>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3 </w:t>
            </w:r>
            <w:r w:rsidRPr="00BA572A">
              <w:rPr>
                <w:rFonts w:eastAsiaTheme="minorEastAsia" w:cs="Calibri"/>
                <w:lang w:eastAsia="en-AU"/>
              </w:rPr>
              <w:t>982.2</w:t>
            </w:r>
          </w:p>
        </w:tc>
        <w:tc>
          <w:tcPr>
            <w:tcW w:w="955" w:type="dxa"/>
            <w:tcBorders>
              <w:top w:val="nil"/>
              <w:left w:val="nil"/>
              <w:bottom w:val="single" w:sz="6" w:space="0" w:color="auto"/>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3 </w:t>
            </w:r>
            <w:r w:rsidRPr="00BA572A">
              <w:rPr>
                <w:rFonts w:eastAsiaTheme="minorEastAsia" w:cs="Calibri"/>
                <w:lang w:eastAsia="en-AU"/>
              </w:rPr>
              <w:t>953.2</w:t>
            </w:r>
          </w:p>
        </w:tc>
        <w:tc>
          <w:tcPr>
            <w:tcW w:w="954" w:type="dxa"/>
            <w:tcBorders>
              <w:top w:val="nil"/>
              <w:left w:val="nil"/>
              <w:bottom w:val="single" w:sz="6" w:space="0" w:color="auto"/>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4 </w:t>
            </w:r>
            <w:r w:rsidRPr="00BA572A">
              <w:rPr>
                <w:rFonts w:eastAsiaTheme="minorEastAsia" w:cs="Calibri"/>
                <w:lang w:eastAsia="en-AU"/>
              </w:rPr>
              <w:t>070.5</w:t>
            </w:r>
          </w:p>
        </w:tc>
        <w:tc>
          <w:tcPr>
            <w:tcW w:w="955" w:type="dxa"/>
            <w:tcBorders>
              <w:top w:val="nil"/>
              <w:left w:val="nil"/>
              <w:bottom w:val="single" w:sz="6" w:space="0" w:color="auto"/>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4 </w:t>
            </w:r>
            <w:r w:rsidRPr="00BA572A">
              <w:rPr>
                <w:rFonts w:eastAsiaTheme="minorEastAsia" w:cs="Calibri"/>
                <w:lang w:eastAsia="en-AU"/>
              </w:rPr>
              <w:t>079.6</w:t>
            </w:r>
          </w:p>
        </w:tc>
        <w:tc>
          <w:tcPr>
            <w:tcW w:w="955" w:type="dxa"/>
            <w:tcBorders>
              <w:top w:val="nil"/>
              <w:left w:val="nil"/>
              <w:bottom w:val="single" w:sz="6" w:space="0" w:color="auto"/>
              <w:right w:val="nil"/>
            </w:tcBorders>
          </w:tcPr>
          <w:p w:rsidR="00F60B5F" w:rsidRPr="00BA572A" w:rsidRDefault="00F60B5F" w:rsidP="00BA572A">
            <w:pPr>
              <w:pStyle w:val="TableofFigures"/>
              <w:rPr>
                <w:rFonts w:eastAsiaTheme="minorEastAsia" w:cs="Calibri"/>
                <w:color w:val="000000"/>
                <w:lang w:eastAsia="en-AU"/>
              </w:rPr>
            </w:pPr>
            <w:r w:rsidRPr="00BA572A">
              <w:rPr>
                <w:rFonts w:eastAsiaTheme="minorEastAsia"/>
                <w:lang w:eastAsia="en-AU"/>
              </w:rPr>
              <w:t xml:space="preserve">4 </w:t>
            </w:r>
            <w:r w:rsidRPr="00BA572A">
              <w:rPr>
                <w:rFonts w:eastAsiaTheme="minorEastAsia" w:cs="Calibri"/>
                <w:lang w:eastAsia="en-AU"/>
              </w:rPr>
              <w:t>100.8</w:t>
            </w:r>
          </w:p>
        </w:tc>
      </w:tr>
      <w:tr w:rsidR="00F60B5F" w:rsidRPr="00BA572A" w:rsidTr="00BA572A">
        <w:tc>
          <w:tcPr>
            <w:tcW w:w="2987" w:type="dxa"/>
            <w:tcBorders>
              <w:top w:val="single" w:sz="6" w:space="0" w:color="auto"/>
              <w:left w:val="nil"/>
              <w:bottom w:val="single" w:sz="12" w:space="0" w:color="000000"/>
              <w:right w:val="nil"/>
            </w:tcBorders>
            <w:shd w:val="clear" w:color="auto" w:fill="auto"/>
          </w:tcPr>
          <w:p w:rsidR="00F60B5F" w:rsidRPr="00BA572A" w:rsidRDefault="00F60B5F" w:rsidP="00BA572A">
            <w:pPr>
              <w:pStyle w:val="Tabletext"/>
              <w:rPr>
                <w:rFonts w:eastAsiaTheme="minorEastAsia"/>
                <w:b/>
                <w:bCs/>
                <w:lang w:eastAsia="en-AU"/>
              </w:rPr>
            </w:pPr>
            <w:r w:rsidRPr="00BA572A">
              <w:rPr>
                <w:rFonts w:eastAsiaTheme="minorEastAsia"/>
                <w:b/>
                <w:bCs/>
                <w:lang w:eastAsia="en-AU"/>
              </w:rPr>
              <w:t xml:space="preserve">Total expenses by government purpose classification </w:t>
            </w:r>
            <w:r>
              <w:rPr>
                <w:rFonts w:eastAsiaTheme="minorEastAsia"/>
                <w:b/>
                <w:bCs/>
                <w:vertAlign w:val="superscript"/>
                <w:lang w:eastAsia="en-AU"/>
              </w:rPr>
              <w:t>(b</w:t>
            </w:r>
            <w:r w:rsidRPr="00BA572A">
              <w:rPr>
                <w:rFonts w:eastAsiaTheme="minorEastAsia"/>
                <w:b/>
                <w:bCs/>
                <w:vertAlign w:val="superscript"/>
                <w:lang w:eastAsia="en-AU"/>
              </w:rPr>
              <w:t>)</w:t>
            </w:r>
          </w:p>
        </w:tc>
        <w:tc>
          <w:tcPr>
            <w:tcW w:w="954" w:type="dxa"/>
            <w:tcBorders>
              <w:top w:val="single" w:sz="6" w:space="0" w:color="auto"/>
              <w:left w:val="nil"/>
              <w:bottom w:val="single" w:sz="12" w:space="0" w:color="000000"/>
              <w:right w:val="nil"/>
            </w:tcBorders>
            <w:shd w:val="clear" w:color="auto"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50 </w:t>
            </w:r>
            <w:r w:rsidRPr="00BA572A">
              <w:rPr>
                <w:rFonts w:eastAsiaTheme="minorEastAsia" w:cs="Calibri"/>
                <w:b/>
                <w:bCs/>
                <w:lang w:eastAsia="en-AU"/>
              </w:rPr>
              <w:t>103.0</w:t>
            </w:r>
          </w:p>
        </w:tc>
        <w:tc>
          <w:tcPr>
            <w:tcW w:w="955" w:type="dxa"/>
            <w:tcBorders>
              <w:top w:val="single" w:sz="6" w:space="0" w:color="auto"/>
              <w:left w:val="nil"/>
              <w:bottom w:val="single" w:sz="12" w:space="0" w:color="000000"/>
              <w:right w:val="nil"/>
            </w:tcBorders>
            <w:shd w:val="clear" w:color="auto"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49 </w:t>
            </w:r>
            <w:r w:rsidRPr="00BA572A">
              <w:rPr>
                <w:rFonts w:eastAsiaTheme="minorEastAsia" w:cs="Calibri"/>
                <w:b/>
                <w:bCs/>
                <w:lang w:eastAsia="en-AU"/>
              </w:rPr>
              <w:t>801.3</w:t>
            </w:r>
          </w:p>
        </w:tc>
        <w:tc>
          <w:tcPr>
            <w:tcW w:w="954" w:type="dxa"/>
            <w:tcBorders>
              <w:top w:val="single" w:sz="6" w:space="0" w:color="auto"/>
              <w:left w:val="nil"/>
              <w:bottom w:val="single" w:sz="12" w:space="0" w:color="000000"/>
              <w:right w:val="nil"/>
            </w:tcBorders>
            <w:shd w:val="clear" w:color="auto"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51 </w:t>
            </w:r>
            <w:r w:rsidRPr="00BA572A">
              <w:rPr>
                <w:rFonts w:eastAsiaTheme="minorEastAsia" w:cs="Calibri"/>
                <w:b/>
                <w:bCs/>
                <w:lang w:eastAsia="en-AU"/>
              </w:rPr>
              <w:t>027.8</w:t>
            </w:r>
          </w:p>
        </w:tc>
        <w:tc>
          <w:tcPr>
            <w:tcW w:w="955" w:type="dxa"/>
            <w:tcBorders>
              <w:top w:val="single" w:sz="6" w:space="0" w:color="auto"/>
              <w:left w:val="nil"/>
              <w:bottom w:val="single" w:sz="12" w:space="0" w:color="000000"/>
              <w:right w:val="nil"/>
            </w:tcBorders>
            <w:shd w:val="clear" w:color="auto"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51 </w:t>
            </w:r>
            <w:r w:rsidRPr="00BA572A">
              <w:rPr>
                <w:rFonts w:eastAsiaTheme="minorEastAsia" w:cs="Calibri"/>
                <w:b/>
                <w:bCs/>
                <w:lang w:eastAsia="en-AU"/>
              </w:rPr>
              <w:t>687.1</w:t>
            </w:r>
          </w:p>
        </w:tc>
        <w:tc>
          <w:tcPr>
            <w:tcW w:w="955" w:type="dxa"/>
            <w:tcBorders>
              <w:top w:val="single" w:sz="6" w:space="0" w:color="auto"/>
              <w:left w:val="nil"/>
              <w:bottom w:val="single" w:sz="12" w:space="0" w:color="000000"/>
              <w:right w:val="nil"/>
            </w:tcBorders>
            <w:shd w:val="clear" w:color="auto"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53 </w:t>
            </w:r>
            <w:r w:rsidRPr="00BA572A">
              <w:rPr>
                <w:rFonts w:eastAsiaTheme="minorEastAsia" w:cs="Calibri"/>
                <w:b/>
                <w:bCs/>
                <w:lang w:eastAsia="en-AU"/>
              </w:rPr>
              <w:t>335.0</w:t>
            </w:r>
          </w:p>
        </w:tc>
      </w:tr>
    </w:tbl>
    <w:p w:rsidR="00F60B5F" w:rsidRPr="00B56B1C" w:rsidRDefault="00F60B5F" w:rsidP="004F1A7B">
      <w:pPr>
        <w:pStyle w:val="Notes"/>
      </w:pPr>
      <w:r w:rsidRPr="00B56B1C">
        <w:t>Note</w:t>
      </w:r>
      <w:r>
        <w:t>s</w:t>
      </w:r>
      <w:r w:rsidRPr="00B56B1C">
        <w:t>:</w:t>
      </w:r>
    </w:p>
    <w:p w:rsidR="00F60B5F" w:rsidRDefault="00F60B5F" w:rsidP="004F1A7B">
      <w:pPr>
        <w:pStyle w:val="Notes"/>
      </w:pPr>
      <w:r w:rsidRPr="00B56B1C">
        <w:t xml:space="preserve">(a) </w:t>
      </w:r>
      <w:r w:rsidRPr="00B56B1C">
        <w:tab/>
      </w:r>
      <w:r>
        <w:t xml:space="preserve">Several previously published allocations have been restated reflecting the refinement of allocation methodology. </w:t>
      </w:r>
    </w:p>
    <w:p w:rsidR="00F60B5F" w:rsidRPr="00B56B1C" w:rsidRDefault="00F60B5F" w:rsidP="004F1A7B">
      <w:pPr>
        <w:pStyle w:val="Notes"/>
      </w:pPr>
      <w:r>
        <w:t>(b)</w:t>
      </w:r>
      <w:r>
        <w:tab/>
      </w:r>
      <w:r w:rsidRPr="00B56B1C">
        <w:t>Classifications have been determined using ratios based on historical data and the impact of policy and non</w:t>
      </w:r>
      <w:r>
        <w:noBreakHyphen/>
      </w:r>
      <w:r w:rsidRPr="00B56B1C">
        <w:t>policy estimate variations.</w:t>
      </w:r>
    </w:p>
    <w:p w:rsidR="00F60B5F" w:rsidRPr="00B56B1C" w:rsidRDefault="00F60B5F" w:rsidP="004F1A7B">
      <w:pPr>
        <w:pStyle w:val="Notes"/>
      </w:pPr>
    </w:p>
    <w:p w:rsidR="00F60B5F" w:rsidRPr="00B56B1C" w:rsidRDefault="00F60B5F">
      <w:pPr>
        <w:spacing w:after="0"/>
        <w:rPr>
          <w:rFonts w:ascii="Calibri" w:hAnsi="Calibri"/>
          <w:b/>
        </w:rPr>
      </w:pPr>
      <w:r w:rsidRPr="00B56B1C">
        <w:br w:type="page"/>
      </w:r>
    </w:p>
    <w:p w:rsidR="00F60B5F" w:rsidRPr="00B56B1C" w:rsidRDefault="00F60B5F" w:rsidP="00172054">
      <w:pPr>
        <w:pStyle w:val="Heading5"/>
      </w:pPr>
      <w:r w:rsidRPr="00B56B1C">
        <w:t>(b)</w:t>
      </w:r>
      <w:r w:rsidRPr="00B56B1C">
        <w:tab/>
        <w:t>Expenses by department including administered items</w:t>
      </w:r>
    </w:p>
    <w:p w:rsidR="00F60B5F" w:rsidRPr="00BA572A" w:rsidRDefault="00F60B5F" w:rsidP="00BA572A">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807"/>
        <w:gridCol w:w="180"/>
        <w:gridCol w:w="124"/>
        <w:gridCol w:w="830"/>
        <w:gridCol w:w="955"/>
        <w:gridCol w:w="954"/>
        <w:gridCol w:w="955"/>
        <w:gridCol w:w="955"/>
      </w:tblGrid>
      <w:tr w:rsidR="00F60B5F" w:rsidRPr="00BA572A" w:rsidTr="00BA572A">
        <w:tc>
          <w:tcPr>
            <w:tcW w:w="2987" w:type="dxa"/>
            <w:gridSpan w:val="2"/>
            <w:tcBorders>
              <w:top w:val="single" w:sz="6" w:space="0" w:color="000000"/>
              <w:left w:val="single" w:sz="6" w:space="0" w:color="000000"/>
              <w:bottom w:val="nil"/>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 xml:space="preserve">  </w:t>
            </w:r>
          </w:p>
        </w:tc>
        <w:tc>
          <w:tcPr>
            <w:tcW w:w="954" w:type="dxa"/>
            <w:gridSpan w:val="2"/>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2013</w:t>
            </w:r>
            <w:r>
              <w:rPr>
                <w:rFonts w:eastAsiaTheme="minorEastAsia"/>
                <w:lang w:eastAsia="en-AU"/>
              </w:rPr>
              <w:noBreakHyphen/>
            </w:r>
            <w:r w:rsidRPr="00BA572A">
              <w:rPr>
                <w:rFonts w:eastAsiaTheme="minorEastAsia"/>
                <w:lang w:eastAsia="en-AU"/>
              </w:rPr>
              <w:t>14</w:t>
            </w:r>
          </w:p>
        </w:tc>
        <w:tc>
          <w:tcPr>
            <w:tcW w:w="955"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2013</w:t>
            </w:r>
            <w:r>
              <w:rPr>
                <w:rFonts w:eastAsiaTheme="minorEastAsia"/>
                <w:lang w:eastAsia="en-AU"/>
              </w:rPr>
              <w:noBreakHyphen/>
            </w:r>
            <w:r w:rsidRPr="00BA572A">
              <w:rPr>
                <w:rFonts w:eastAsiaTheme="minorEastAsia"/>
                <w:lang w:eastAsia="en-AU"/>
              </w:rPr>
              <w:t>14</w:t>
            </w:r>
          </w:p>
        </w:tc>
        <w:tc>
          <w:tcPr>
            <w:tcW w:w="954"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2014</w:t>
            </w:r>
            <w:r>
              <w:rPr>
                <w:rFonts w:eastAsiaTheme="minorEastAsia"/>
                <w:lang w:eastAsia="en-AU"/>
              </w:rPr>
              <w:noBreakHyphen/>
            </w:r>
            <w:r w:rsidRPr="00BA572A">
              <w:rPr>
                <w:rFonts w:eastAsiaTheme="minorEastAsia"/>
                <w:lang w:eastAsia="en-AU"/>
              </w:rPr>
              <w:t>15</w:t>
            </w:r>
          </w:p>
        </w:tc>
        <w:tc>
          <w:tcPr>
            <w:tcW w:w="955"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2015</w:t>
            </w:r>
            <w:r>
              <w:rPr>
                <w:rFonts w:eastAsiaTheme="minorEastAsia"/>
                <w:lang w:eastAsia="en-AU"/>
              </w:rPr>
              <w:noBreakHyphen/>
            </w:r>
            <w:r w:rsidRPr="00BA572A">
              <w:rPr>
                <w:rFonts w:eastAsiaTheme="minorEastAsia"/>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2016</w:t>
            </w:r>
            <w:r>
              <w:rPr>
                <w:rFonts w:eastAsiaTheme="minorEastAsia"/>
                <w:lang w:eastAsia="en-AU"/>
              </w:rPr>
              <w:noBreakHyphen/>
            </w:r>
            <w:r w:rsidRPr="00BA572A">
              <w:rPr>
                <w:rFonts w:eastAsiaTheme="minorEastAsia"/>
                <w:lang w:eastAsia="en-AU"/>
              </w:rPr>
              <w:t>17</w:t>
            </w:r>
          </w:p>
        </w:tc>
      </w:tr>
      <w:tr w:rsidR="00F60B5F" w:rsidRPr="00BA572A" w:rsidTr="00BA572A">
        <w:tc>
          <w:tcPr>
            <w:tcW w:w="2987" w:type="dxa"/>
            <w:gridSpan w:val="2"/>
            <w:tcBorders>
              <w:top w:val="nil"/>
              <w:left w:val="single" w:sz="6" w:space="0" w:color="000000"/>
              <w:bottom w:val="single" w:sz="6" w:space="0" w:color="000000"/>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 xml:space="preserve"> </w:t>
            </w:r>
          </w:p>
        </w:tc>
        <w:tc>
          <w:tcPr>
            <w:tcW w:w="954" w:type="dxa"/>
            <w:gridSpan w:val="2"/>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Budget</w:t>
            </w:r>
          </w:p>
        </w:tc>
        <w:tc>
          <w:tcPr>
            <w:tcW w:w="955"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Revised</w:t>
            </w:r>
          </w:p>
        </w:tc>
        <w:tc>
          <w:tcPr>
            <w:tcW w:w="954"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Estimate</w:t>
            </w:r>
          </w:p>
        </w:tc>
        <w:tc>
          <w:tcPr>
            <w:tcW w:w="955"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Estimate</w:t>
            </w:r>
          </w:p>
        </w:tc>
      </w:tr>
      <w:tr w:rsidR="00F60B5F" w:rsidRPr="00BA572A" w:rsidTr="00BA572A">
        <w:tc>
          <w:tcPr>
            <w:tcW w:w="2987" w:type="dxa"/>
            <w:gridSpan w:val="2"/>
            <w:tcBorders>
              <w:top w:val="single" w:sz="6" w:space="0" w:color="000000"/>
              <w:left w:val="nil"/>
              <w:bottom w:val="nil"/>
              <w:right w:val="nil"/>
            </w:tcBorders>
            <w:shd w:val="solid" w:color="FFFFFF" w:fill="auto"/>
          </w:tcPr>
          <w:p w:rsidR="00F60B5F" w:rsidRPr="00BA572A" w:rsidRDefault="00F60B5F" w:rsidP="00BA572A">
            <w:pPr>
              <w:pStyle w:val="Tabletext"/>
              <w:rPr>
                <w:rFonts w:eastAsiaTheme="minorEastAsia"/>
                <w:b/>
                <w:bCs/>
                <w:lang w:eastAsia="en-AU"/>
              </w:rPr>
            </w:pPr>
            <w:r w:rsidRPr="00BA572A">
              <w:rPr>
                <w:rFonts w:eastAsiaTheme="minorEastAsia"/>
                <w:b/>
                <w:bCs/>
                <w:lang w:eastAsia="en-AU"/>
              </w:rPr>
              <w:t>Expenses</w:t>
            </w:r>
          </w:p>
        </w:tc>
        <w:tc>
          <w:tcPr>
            <w:tcW w:w="954" w:type="dxa"/>
            <w:gridSpan w:val="2"/>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b/>
                <w:lang w:eastAsia="en-AU"/>
              </w:rPr>
            </w:pPr>
          </w:p>
        </w:tc>
        <w:tc>
          <w:tcPr>
            <w:tcW w:w="955"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b/>
                <w:lang w:eastAsia="en-AU"/>
              </w:rPr>
            </w:pPr>
          </w:p>
        </w:tc>
        <w:tc>
          <w:tcPr>
            <w:tcW w:w="954"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b/>
                <w:lang w:eastAsia="en-AU"/>
              </w:rPr>
            </w:pPr>
          </w:p>
        </w:tc>
        <w:tc>
          <w:tcPr>
            <w:tcW w:w="955"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b/>
                <w:lang w:eastAsia="en-AU"/>
              </w:rPr>
            </w:pPr>
          </w:p>
        </w:tc>
        <w:tc>
          <w:tcPr>
            <w:tcW w:w="955"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b/>
                <w:lang w:eastAsia="en-AU"/>
              </w:rPr>
            </w:pP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 xml:space="preserve">Education and Early Childhood Development </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14 080.1</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14 229.0</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14 338.8</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14 618.2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14 823.3</w:t>
            </w:r>
          </w:p>
        </w:tc>
      </w:tr>
      <w:tr w:rsidR="00F60B5F" w:rsidRPr="00BA572A" w:rsidTr="00BA572A">
        <w:tc>
          <w:tcPr>
            <w:tcW w:w="3111" w:type="dxa"/>
            <w:gridSpan w:val="3"/>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Environment and Primary Industries</w:t>
            </w:r>
          </w:p>
        </w:tc>
        <w:tc>
          <w:tcPr>
            <w:tcW w:w="830"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3 305.1</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3 421.5</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3 351.2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3 207.3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2 998.1</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Health</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15 864.2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15 875.2</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16 018.7</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15 969.9</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16 446.0</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Human Services</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3 718.6</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3 706.7</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3 689.3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3 802.2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3 892.1</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Justice</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8 300.3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8 224.3</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8 675.3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8 752.7</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8 842.7</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Parliament</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190.7</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192.3</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178.3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179.7</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181.5</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Premier and Cabinet</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672.0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676.5</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655.5</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635.4</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639.0</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 xml:space="preserve">State Development, Business and Innovation </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1 179.0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1 443.3</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color w:val="0000FF"/>
                <w:lang w:eastAsia="en-AU"/>
              </w:rPr>
            </w:pPr>
            <w:r w:rsidRPr="00BA572A">
              <w:rPr>
                <w:rFonts w:eastAsiaTheme="minorEastAsia"/>
                <w:lang w:eastAsia="en-AU"/>
              </w:rPr>
              <w:t>1 043.8</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889.8</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805.7</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Transport, Planning and Local Infrastructure</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9 611.0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9 218.7</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9 357.3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9 454.6</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9 588.7</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Treasury and Finance</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40 963.3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41 190.4</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42 605.1</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43 978.3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45 990.0</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vertAlign w:val="superscript"/>
                <w:lang w:eastAsia="en-AU"/>
              </w:rPr>
            </w:pPr>
            <w:r w:rsidRPr="00BA572A">
              <w:rPr>
                <w:rFonts w:eastAsiaTheme="minorEastAsia"/>
                <w:lang w:eastAsia="en-AU"/>
              </w:rPr>
              <w:t xml:space="preserve">Regulatory bodies and other part funded agencies </w:t>
            </w:r>
            <w:r w:rsidRPr="00BA572A">
              <w:rPr>
                <w:rFonts w:eastAsiaTheme="minorEastAsia"/>
                <w:vertAlign w:val="superscript"/>
                <w:lang w:eastAsia="en-AU"/>
              </w:rPr>
              <w:t>(a)</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1 920.2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1 932.8</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1 885.7</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1 865.6</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1 865.0</w:t>
            </w:r>
          </w:p>
        </w:tc>
      </w:tr>
      <w:tr w:rsidR="00F60B5F" w:rsidRPr="00BA572A" w:rsidTr="00BA572A">
        <w:tc>
          <w:tcPr>
            <w:tcW w:w="2987" w:type="dxa"/>
            <w:gridSpan w:val="2"/>
            <w:tcBorders>
              <w:top w:val="nil"/>
              <w:left w:val="nil"/>
              <w:bottom w:val="single" w:sz="6" w:space="0" w:color="auto"/>
              <w:right w:val="nil"/>
            </w:tcBorders>
            <w:shd w:val="solid" w:color="FFFFFF" w:fill="auto"/>
          </w:tcPr>
          <w:p w:rsidR="00F60B5F" w:rsidRPr="00BA572A" w:rsidRDefault="00F60B5F" w:rsidP="00BA572A">
            <w:pPr>
              <w:pStyle w:val="Tabletext"/>
              <w:rPr>
                <w:rFonts w:eastAsiaTheme="minorEastAsia"/>
                <w:vertAlign w:val="superscript"/>
                <w:lang w:eastAsia="en-AU"/>
              </w:rPr>
            </w:pPr>
            <w:r w:rsidRPr="00BA572A">
              <w:rPr>
                <w:rFonts w:eastAsiaTheme="minorEastAsia"/>
                <w:lang w:eastAsia="en-AU"/>
              </w:rPr>
              <w:t xml:space="preserve">Contingencies not allocated to departments </w:t>
            </w:r>
            <w:r w:rsidRPr="00BA572A">
              <w:rPr>
                <w:rFonts w:eastAsiaTheme="minorEastAsia"/>
                <w:vertAlign w:val="superscript"/>
                <w:lang w:eastAsia="en-AU"/>
              </w:rPr>
              <w:t>(b)</w:t>
            </w:r>
          </w:p>
        </w:tc>
        <w:tc>
          <w:tcPr>
            <w:tcW w:w="954" w:type="dxa"/>
            <w:gridSpan w:val="2"/>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( 88.4)</w:t>
            </w:r>
          </w:p>
        </w:tc>
        <w:tc>
          <w:tcPr>
            <w:tcW w:w="955" w:type="dxa"/>
            <w:tcBorders>
              <w:top w:val="nil"/>
              <w:left w:val="nil"/>
              <w:bottom w:val="single" w:sz="6" w:space="0" w:color="auto"/>
              <w:right w:val="nil"/>
            </w:tcBorders>
            <w:shd w:val="solid" w:color="FFFFFF" w:fill="auto"/>
          </w:tcPr>
          <w:p w:rsidR="00F60B5F" w:rsidRPr="00376390" w:rsidRDefault="00F60B5F" w:rsidP="00376390">
            <w:pPr>
              <w:pStyle w:val="TableofFigures"/>
              <w:rPr>
                <w:rFonts w:eastAsiaTheme="minorEastAsia"/>
              </w:rPr>
            </w:pPr>
            <w:r w:rsidRPr="00376390">
              <w:rPr>
                <w:rFonts w:eastAsiaTheme="minorEastAsia"/>
              </w:rPr>
              <w:t>( 502.9)</w:t>
            </w:r>
          </w:p>
        </w:tc>
        <w:tc>
          <w:tcPr>
            <w:tcW w:w="954"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 xml:space="preserve"> 931.0</w:t>
            </w:r>
          </w:p>
        </w:tc>
        <w:tc>
          <w:tcPr>
            <w:tcW w:w="955"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1 666.9</w:t>
            </w:r>
          </w:p>
        </w:tc>
        <w:tc>
          <w:tcPr>
            <w:tcW w:w="955"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2 706.1</w:t>
            </w:r>
          </w:p>
        </w:tc>
      </w:tr>
      <w:tr w:rsidR="00F60B5F" w:rsidRPr="00BA572A" w:rsidTr="00BA572A">
        <w:tc>
          <w:tcPr>
            <w:tcW w:w="2987" w:type="dxa"/>
            <w:gridSpan w:val="2"/>
            <w:tcBorders>
              <w:top w:val="nil"/>
              <w:left w:val="nil"/>
              <w:bottom w:val="nil"/>
              <w:right w:val="nil"/>
            </w:tcBorders>
            <w:shd w:val="solid" w:color="FFFFFF" w:fill="auto"/>
          </w:tcPr>
          <w:p w:rsidR="00F60B5F" w:rsidRPr="00BA572A" w:rsidRDefault="00F60B5F" w:rsidP="00BA572A">
            <w:pPr>
              <w:pStyle w:val="Tabletext"/>
              <w:rPr>
                <w:rFonts w:eastAsiaTheme="minorEastAsia"/>
                <w:b/>
                <w:bCs/>
                <w:lang w:eastAsia="en-AU"/>
              </w:rPr>
            </w:pPr>
            <w:r w:rsidRPr="00BA572A">
              <w:rPr>
                <w:rFonts w:eastAsiaTheme="minorEastAsia"/>
                <w:b/>
                <w:bCs/>
                <w:lang w:eastAsia="en-AU"/>
              </w:rPr>
              <w:t>Total expenses by department including administered items</w:t>
            </w:r>
          </w:p>
        </w:tc>
        <w:tc>
          <w:tcPr>
            <w:tcW w:w="954" w:type="dxa"/>
            <w:gridSpan w:val="2"/>
            <w:tcBorders>
              <w:top w:val="nil"/>
              <w:left w:val="nil"/>
              <w:bottom w:val="nil"/>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99 716.2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99 607.8</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102 730.0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105 020.6</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108 778.0</w:t>
            </w:r>
          </w:p>
        </w:tc>
      </w:tr>
      <w:tr w:rsidR="00F60B5F" w:rsidRPr="00BA572A" w:rsidTr="00BA572A">
        <w:tc>
          <w:tcPr>
            <w:tcW w:w="2807" w:type="dxa"/>
            <w:tcBorders>
              <w:top w:val="nil"/>
              <w:left w:val="nil"/>
              <w:bottom w:val="single" w:sz="6" w:space="0" w:color="auto"/>
              <w:right w:val="nil"/>
            </w:tcBorders>
            <w:shd w:val="solid" w:color="FFFFFF" w:fill="auto"/>
          </w:tcPr>
          <w:p w:rsidR="00F60B5F" w:rsidRPr="00BA572A" w:rsidRDefault="00F60B5F" w:rsidP="00BA572A">
            <w:pPr>
              <w:pStyle w:val="Tabletext"/>
              <w:rPr>
                <w:rFonts w:eastAsiaTheme="minorEastAsia"/>
                <w:vertAlign w:val="superscript"/>
                <w:lang w:eastAsia="en-AU"/>
              </w:rPr>
            </w:pPr>
            <w:r w:rsidRPr="00BA572A">
              <w:rPr>
                <w:rFonts w:eastAsiaTheme="minorEastAsia"/>
                <w:lang w:eastAsia="en-AU"/>
              </w:rPr>
              <w:t xml:space="preserve">Less eliminations and adjustments </w:t>
            </w:r>
            <w:r w:rsidRPr="00BA572A">
              <w:rPr>
                <w:rFonts w:eastAsiaTheme="minorEastAsia"/>
                <w:vertAlign w:val="superscript"/>
                <w:lang w:eastAsia="en-AU"/>
              </w:rPr>
              <w:t>(c)</w:t>
            </w:r>
          </w:p>
        </w:tc>
        <w:tc>
          <w:tcPr>
            <w:tcW w:w="1134" w:type="dxa"/>
            <w:gridSpan w:val="3"/>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(49 613.2)</w:t>
            </w:r>
          </w:p>
        </w:tc>
        <w:tc>
          <w:tcPr>
            <w:tcW w:w="955"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(49 806.6)</w:t>
            </w:r>
          </w:p>
        </w:tc>
        <w:tc>
          <w:tcPr>
            <w:tcW w:w="954"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(51 702.3)</w:t>
            </w:r>
          </w:p>
        </w:tc>
        <w:tc>
          <w:tcPr>
            <w:tcW w:w="955"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(53 333.5)</w:t>
            </w:r>
          </w:p>
        </w:tc>
        <w:tc>
          <w:tcPr>
            <w:tcW w:w="955"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lang w:eastAsia="en-AU"/>
              </w:rPr>
            </w:pPr>
            <w:r w:rsidRPr="00BA572A">
              <w:rPr>
                <w:rFonts w:eastAsiaTheme="minorEastAsia"/>
                <w:lang w:eastAsia="en-AU"/>
              </w:rPr>
              <w:t>(55 443.0)</w:t>
            </w:r>
          </w:p>
        </w:tc>
      </w:tr>
      <w:tr w:rsidR="00F60B5F" w:rsidRPr="00BA572A" w:rsidTr="00BA572A">
        <w:tc>
          <w:tcPr>
            <w:tcW w:w="2987" w:type="dxa"/>
            <w:gridSpan w:val="2"/>
            <w:tcBorders>
              <w:top w:val="single" w:sz="6" w:space="0" w:color="auto"/>
              <w:left w:val="nil"/>
              <w:bottom w:val="single" w:sz="12" w:space="0" w:color="000000"/>
              <w:right w:val="nil"/>
            </w:tcBorders>
            <w:shd w:val="solid" w:color="FFFFFF" w:fill="auto"/>
          </w:tcPr>
          <w:p w:rsidR="00F60B5F" w:rsidRPr="00BA572A" w:rsidRDefault="00F60B5F" w:rsidP="00BA572A">
            <w:pPr>
              <w:pStyle w:val="Tabletext"/>
              <w:rPr>
                <w:rFonts w:eastAsiaTheme="minorEastAsia"/>
                <w:b/>
                <w:bCs/>
                <w:lang w:eastAsia="en-AU"/>
              </w:rPr>
            </w:pPr>
            <w:r w:rsidRPr="00BA572A">
              <w:rPr>
                <w:rFonts w:eastAsiaTheme="minorEastAsia"/>
                <w:b/>
                <w:bCs/>
                <w:lang w:eastAsia="en-AU"/>
              </w:rPr>
              <w:t xml:space="preserve">Total expenses </w:t>
            </w:r>
          </w:p>
        </w:tc>
        <w:tc>
          <w:tcPr>
            <w:tcW w:w="954" w:type="dxa"/>
            <w:gridSpan w:val="2"/>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50 103.0</w:t>
            </w:r>
          </w:p>
        </w:tc>
        <w:tc>
          <w:tcPr>
            <w:tcW w:w="955"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49 801.3</w:t>
            </w:r>
          </w:p>
        </w:tc>
        <w:tc>
          <w:tcPr>
            <w:tcW w:w="954"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51 027.8</w:t>
            </w:r>
          </w:p>
        </w:tc>
        <w:tc>
          <w:tcPr>
            <w:tcW w:w="955"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51 687.1</w:t>
            </w:r>
          </w:p>
        </w:tc>
        <w:tc>
          <w:tcPr>
            <w:tcW w:w="955"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b/>
                <w:bCs/>
                <w:lang w:eastAsia="en-AU"/>
              </w:rPr>
            </w:pPr>
            <w:r w:rsidRPr="00BA572A">
              <w:rPr>
                <w:rFonts w:eastAsiaTheme="minorEastAsia"/>
                <w:b/>
                <w:bCs/>
                <w:lang w:eastAsia="en-AU"/>
              </w:rPr>
              <w:t>53 335.0</w:t>
            </w:r>
          </w:p>
        </w:tc>
      </w:tr>
    </w:tbl>
    <w:p w:rsidR="00F60B5F" w:rsidRPr="00B56B1C" w:rsidRDefault="00F60B5F" w:rsidP="004F1A7B">
      <w:pPr>
        <w:pStyle w:val="Notes"/>
      </w:pPr>
      <w:r w:rsidRPr="00B56B1C">
        <w:t>Notes:</w:t>
      </w:r>
    </w:p>
    <w:p w:rsidR="00F60B5F" w:rsidRPr="00B56B1C" w:rsidRDefault="00F60B5F" w:rsidP="004F1A7B">
      <w:pPr>
        <w:pStyle w:val="Notes"/>
      </w:pPr>
      <w:r w:rsidRPr="00B56B1C">
        <w:t xml:space="preserve">(a) </w:t>
      </w:r>
      <w:r w:rsidRPr="00B56B1C">
        <w:tab/>
        <w:t>Other general government sector agencies, which receive less than 50</w:t>
      </w:r>
      <w:r>
        <w:t> per cent</w:t>
      </w:r>
      <w:r w:rsidRPr="00B56B1C">
        <w:t xml:space="preserve"> of their revenue from appropriations and therefore are not allocated to departments</w:t>
      </w:r>
      <w:r>
        <w:t>.</w:t>
      </w:r>
    </w:p>
    <w:p w:rsidR="00F60B5F" w:rsidRPr="00B56B1C" w:rsidRDefault="00F60B5F" w:rsidP="004F1A7B">
      <w:pPr>
        <w:pStyle w:val="Notes"/>
      </w:pPr>
      <w:r w:rsidRPr="00B56B1C">
        <w:t xml:space="preserve">(b) </w:t>
      </w:r>
      <w:r w:rsidRPr="00B56B1C">
        <w:tab/>
        <w:t>Contingencies include provisions available to be allocated to specific departments and projects, future demand growth, departmental underspending and items not yet formalised at the time of publication.</w:t>
      </w:r>
    </w:p>
    <w:p w:rsidR="00F60B5F" w:rsidRPr="00B56B1C" w:rsidRDefault="00F60B5F" w:rsidP="004F1A7B">
      <w:pPr>
        <w:pStyle w:val="Notes"/>
      </w:pPr>
      <w:r w:rsidRPr="00B56B1C">
        <w:t xml:space="preserve">(c) </w:t>
      </w:r>
      <w:r w:rsidRPr="00B56B1C">
        <w:tab/>
        <w:t>Mainly comprising payroll tax, capital asset charge and inter</w:t>
      </w:r>
      <w:r>
        <w:noBreakHyphen/>
      </w:r>
      <w:r w:rsidRPr="00B56B1C">
        <w:t>departmental transfers.</w:t>
      </w:r>
    </w:p>
    <w:p w:rsidR="00F60B5F" w:rsidRPr="00B56B1C" w:rsidRDefault="00F60B5F">
      <w:pPr>
        <w:spacing w:after="0"/>
        <w:rPr>
          <w:rFonts w:ascii="Calibri" w:hAnsi="Calibri"/>
          <w:b/>
          <w:kern w:val="28"/>
          <w:sz w:val="26"/>
          <w:szCs w:val="22"/>
        </w:rPr>
      </w:pPr>
      <w:r w:rsidRPr="00B56B1C">
        <w:br w:type="page"/>
      </w:r>
    </w:p>
    <w:p w:rsidR="00F60B5F" w:rsidRPr="00B56B1C" w:rsidRDefault="00F60B5F" w:rsidP="00C54DC6">
      <w:pPr>
        <w:pStyle w:val="Heading2Notes"/>
      </w:pPr>
      <w:bookmarkStart w:id="38" w:name="_Toc373751819"/>
      <w:r w:rsidRPr="00B56B1C">
        <w:t>Note 13:</w:t>
      </w:r>
      <w:r w:rsidRPr="00B56B1C">
        <w:tab/>
        <w:t>Other gains/(losses) from other economic flows</w:t>
      </w:r>
      <w:bookmarkEnd w:id="38"/>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Net (increase) in provision for doubtful receivables</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( 267.7)</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( 170.2)</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( 177.8)</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( 158.5)</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( 152.9)</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Amortisation of intangible non</w:t>
            </w:r>
            <w:r>
              <w:rPr>
                <w:rFonts w:eastAsiaTheme="minorEastAsia"/>
                <w:lang w:eastAsia="en-AU"/>
              </w:rPr>
              <w:noBreakHyphen/>
            </w:r>
            <w:r w:rsidRPr="00820AF8">
              <w:rPr>
                <w:rFonts w:eastAsiaTheme="minorEastAsia"/>
                <w:lang w:eastAsia="en-AU"/>
              </w:rPr>
              <w:t>produced assets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( 10.5)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( 10.5)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( 10.5)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( 10.5)</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( 10.5)</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Net (increase) in bad debts</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( 114.1)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( 114.7)</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( 119.1)</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( 152.9)</w:t>
            </w:r>
          </w:p>
        </w:tc>
        <w:tc>
          <w:tcPr>
            <w:tcW w:w="994" w:type="dxa"/>
            <w:tcBorders>
              <w:top w:val="nil"/>
              <w:left w:val="nil"/>
              <w:bottom w:val="nil"/>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( 153.1)</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 xml:space="preserve">Other gains/(losses) </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17.4</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16.4</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27.4</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18.1</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( 4.0)</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other gains/(losses) from other economic flows</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( 374.8)</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( 279.0)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( 280.0)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( 303.7)</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( 320.5)</w:t>
            </w:r>
          </w:p>
        </w:tc>
      </w:tr>
    </w:tbl>
    <w:p w:rsidR="00F60B5F" w:rsidRPr="00B56B1C" w:rsidRDefault="00F60B5F" w:rsidP="00172054"/>
    <w:p w:rsidR="00F60B5F" w:rsidRPr="00B56B1C" w:rsidRDefault="00F60B5F" w:rsidP="00172054"/>
    <w:p w:rsidR="00F60B5F" w:rsidRPr="00B56B1C" w:rsidRDefault="00F60B5F" w:rsidP="00C54DC6">
      <w:pPr>
        <w:pStyle w:val="Heading2Notes"/>
      </w:pPr>
      <w:bookmarkStart w:id="39" w:name="_Toc373751820"/>
      <w:r w:rsidRPr="00B56B1C">
        <w:t>Note 14:</w:t>
      </w:r>
      <w:r w:rsidRPr="00B56B1C">
        <w:tab/>
        <w:t>Reconciliation of net gain on equity investments in other sector entities at proportional share of net assets</w:t>
      </w:r>
      <w:bookmarkEnd w:id="39"/>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153"/>
        <w:gridCol w:w="841"/>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lang w:eastAsia="en-AU"/>
              </w:rPr>
            </w:pPr>
          </w:p>
        </w:tc>
        <w:tc>
          <w:tcPr>
            <w:tcW w:w="994" w:type="dxa"/>
            <w:gridSpan w:val="2"/>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2013</w:t>
            </w:r>
            <w:r>
              <w:rPr>
                <w:rFonts w:eastAsiaTheme="minorEastAsia"/>
                <w:iCs/>
                <w:lang w:eastAsia="en-AU"/>
              </w:rPr>
              <w:noBreakHyphen/>
            </w:r>
            <w:r w:rsidRPr="00820AF8">
              <w:rPr>
                <w:rFonts w:eastAsiaTheme="minorEastAsia"/>
                <w:iCs/>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2013</w:t>
            </w:r>
            <w:r>
              <w:rPr>
                <w:rFonts w:eastAsiaTheme="minorEastAsia"/>
                <w:iCs/>
                <w:lang w:eastAsia="en-AU"/>
              </w:rPr>
              <w:noBreakHyphen/>
            </w:r>
            <w:r w:rsidRPr="00820AF8">
              <w:rPr>
                <w:rFonts w:eastAsiaTheme="minorEastAsia"/>
                <w:iCs/>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2014</w:t>
            </w:r>
            <w:r>
              <w:rPr>
                <w:rFonts w:eastAsiaTheme="minorEastAsia"/>
                <w:iCs/>
                <w:lang w:eastAsia="en-AU"/>
              </w:rPr>
              <w:noBreakHyphen/>
            </w:r>
            <w:r w:rsidRPr="00820AF8">
              <w:rPr>
                <w:rFonts w:eastAsiaTheme="minorEastAsia"/>
                <w:iCs/>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2015</w:t>
            </w:r>
            <w:r>
              <w:rPr>
                <w:rFonts w:eastAsiaTheme="minorEastAsia"/>
                <w:iCs/>
                <w:lang w:eastAsia="en-AU"/>
              </w:rPr>
              <w:noBreakHyphen/>
            </w:r>
            <w:r w:rsidRPr="00820AF8">
              <w:rPr>
                <w:rFonts w:eastAsiaTheme="minorEastAsia"/>
                <w:iCs/>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2016</w:t>
            </w:r>
            <w:r>
              <w:rPr>
                <w:rFonts w:eastAsiaTheme="minorEastAsia"/>
                <w:iCs/>
                <w:lang w:eastAsia="en-AU"/>
              </w:rPr>
              <w:noBreakHyphen/>
            </w:r>
            <w:r w:rsidRPr="00820AF8">
              <w:rPr>
                <w:rFonts w:eastAsiaTheme="minorEastAsia"/>
                <w:iCs/>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p>
        </w:tc>
        <w:tc>
          <w:tcPr>
            <w:tcW w:w="994" w:type="dxa"/>
            <w:gridSpan w:val="2"/>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cs="Calibri"/>
                <w:szCs w:val="22"/>
                <w:lang w:eastAsia="en-AU"/>
              </w:rPr>
            </w:pPr>
            <w:r w:rsidRPr="00820AF8">
              <w:rPr>
                <w:rFonts w:eastAsiaTheme="minorEastAsia"/>
                <w:lang w:eastAsia="en-AU"/>
              </w:rPr>
              <w:t xml:space="preserve">Balance of investment </w:t>
            </w:r>
            <w:r w:rsidRPr="00820AF8">
              <w:rPr>
                <w:rFonts w:eastAsiaTheme="minorEastAsia" w:cs="Calibri"/>
                <w:szCs w:val="22"/>
                <w:lang w:eastAsia="en-AU"/>
              </w:rPr>
              <w:t>in PNFC and PFC sectors at beginning of period</w:t>
            </w:r>
          </w:p>
        </w:tc>
        <w:tc>
          <w:tcPr>
            <w:tcW w:w="994" w:type="dxa"/>
            <w:gridSpan w:val="2"/>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69 489.5</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69 489.5</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73 534.2</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78 531.4</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80 186.8</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cs="Calibri"/>
                <w:szCs w:val="22"/>
                <w:lang w:eastAsia="en-AU"/>
              </w:rPr>
            </w:pPr>
            <w:r w:rsidRPr="00820AF8">
              <w:rPr>
                <w:rFonts w:eastAsiaTheme="minorEastAsia"/>
                <w:lang w:eastAsia="en-AU"/>
              </w:rPr>
              <w:t xml:space="preserve">Net contributions to </w:t>
            </w:r>
            <w:r w:rsidRPr="00820AF8">
              <w:rPr>
                <w:rFonts w:eastAsiaTheme="minorEastAsia" w:cs="Calibri"/>
                <w:szCs w:val="22"/>
                <w:lang w:eastAsia="en-AU"/>
              </w:rPr>
              <w:t>other sectors by owner</w:t>
            </w:r>
          </w:p>
        </w:tc>
        <w:tc>
          <w:tcPr>
            <w:tcW w:w="994" w:type="dxa"/>
            <w:gridSpan w:val="2"/>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2 280.3</w:t>
            </w:r>
          </w:p>
        </w:tc>
        <w:tc>
          <w:tcPr>
            <w:tcW w:w="994"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2 360.9</w:t>
            </w:r>
          </w:p>
        </w:tc>
        <w:tc>
          <w:tcPr>
            <w:tcW w:w="994"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2 371.2</w:t>
            </w:r>
          </w:p>
        </w:tc>
        <w:tc>
          <w:tcPr>
            <w:tcW w:w="994"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626.9</w:t>
            </w:r>
          </w:p>
        </w:tc>
        <w:tc>
          <w:tcPr>
            <w:tcW w:w="994"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343.8</w:t>
            </w:r>
          </w:p>
        </w:tc>
      </w:tr>
      <w:tr w:rsidR="00F60B5F" w:rsidRPr="00820AF8" w:rsidTr="00820AF8">
        <w:tc>
          <w:tcPr>
            <w:tcW w:w="2943" w:type="dxa"/>
            <w:gridSpan w:val="2"/>
            <w:tcBorders>
              <w:top w:val="nil"/>
              <w:left w:val="nil"/>
              <w:bottom w:val="single" w:sz="6" w:space="0" w:color="auto"/>
              <w:right w:val="nil"/>
            </w:tcBorders>
          </w:tcPr>
          <w:p w:rsidR="00F60B5F" w:rsidRPr="00820AF8" w:rsidRDefault="00F60B5F" w:rsidP="00820AF8">
            <w:pPr>
              <w:pStyle w:val="Tabletext"/>
              <w:rPr>
                <w:rFonts w:eastAsiaTheme="minorEastAsia"/>
                <w:lang w:val="en-US" w:eastAsia="en-AU"/>
              </w:rPr>
            </w:pPr>
            <w:r w:rsidRPr="00820AF8">
              <w:rPr>
                <w:rFonts w:eastAsiaTheme="minorEastAsia"/>
                <w:lang w:eastAsia="en-AU"/>
              </w:rPr>
              <w:t>Revaluation gain/(loss) for period</w:t>
            </w:r>
          </w:p>
        </w:tc>
        <w:tc>
          <w:tcPr>
            <w:tcW w:w="841"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1 559.2</w:t>
            </w:r>
          </w:p>
        </w:tc>
        <w:tc>
          <w:tcPr>
            <w:tcW w:w="994"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1 683.9</w:t>
            </w:r>
          </w:p>
        </w:tc>
        <w:tc>
          <w:tcPr>
            <w:tcW w:w="994"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2 626.0</w:t>
            </w:r>
          </w:p>
        </w:tc>
        <w:tc>
          <w:tcPr>
            <w:tcW w:w="994"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1 028.5</w:t>
            </w:r>
          </w:p>
        </w:tc>
        <w:tc>
          <w:tcPr>
            <w:tcW w:w="994"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( 406.2)</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cs="Calibri"/>
                <w:b/>
                <w:bCs/>
                <w:szCs w:val="22"/>
                <w:lang w:eastAsia="en-AU"/>
              </w:rPr>
            </w:pPr>
            <w:r w:rsidRPr="00820AF8">
              <w:rPr>
                <w:rFonts w:eastAsiaTheme="minorEastAsia"/>
                <w:b/>
                <w:bCs/>
                <w:lang w:eastAsia="en-AU"/>
              </w:rPr>
              <w:t xml:space="preserve">Investment in other sector entities at end </w:t>
            </w:r>
            <w:r w:rsidRPr="00820AF8">
              <w:rPr>
                <w:rFonts w:eastAsiaTheme="minorEastAsia" w:cs="Calibri"/>
                <w:b/>
                <w:bCs/>
                <w:szCs w:val="22"/>
                <w:lang w:eastAsia="en-AU"/>
              </w:rPr>
              <w:t>of period</w:t>
            </w:r>
          </w:p>
        </w:tc>
        <w:tc>
          <w:tcPr>
            <w:tcW w:w="994" w:type="dxa"/>
            <w:gridSpan w:val="2"/>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73 328.9</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73 534.2</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78 531.4</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80 186.8</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80 124.4</w:t>
            </w:r>
          </w:p>
        </w:tc>
      </w:tr>
    </w:tbl>
    <w:p w:rsidR="00F60B5F" w:rsidRPr="00B56B1C" w:rsidRDefault="00F60B5F" w:rsidP="00172054"/>
    <w:p w:rsidR="00F60B5F" w:rsidRPr="00B56B1C" w:rsidRDefault="00F60B5F" w:rsidP="00172054"/>
    <w:p w:rsidR="00F60B5F" w:rsidRPr="00B56B1C" w:rsidRDefault="00F60B5F">
      <w:pPr>
        <w:spacing w:after="0"/>
        <w:rPr>
          <w:rFonts w:ascii="Calibri" w:hAnsi="Calibri"/>
          <w:b/>
          <w:kern w:val="28"/>
          <w:sz w:val="26"/>
          <w:szCs w:val="22"/>
        </w:rPr>
      </w:pPr>
      <w:r w:rsidRPr="00B56B1C">
        <w:br w:type="page"/>
      </w:r>
    </w:p>
    <w:p w:rsidR="00F60B5F" w:rsidRPr="00B56B1C" w:rsidRDefault="00F60B5F" w:rsidP="00C54DC6">
      <w:pPr>
        <w:pStyle w:val="Heading2Notes"/>
      </w:pPr>
      <w:bookmarkStart w:id="40" w:name="_Toc373751821"/>
      <w:r w:rsidRPr="00B56B1C">
        <w:t>Note 15:</w:t>
      </w:r>
      <w:r w:rsidRPr="00B56B1C">
        <w:tab/>
        <w:t>Net acquisition on non</w:t>
      </w:r>
      <w:r>
        <w:noBreakHyphen/>
      </w:r>
      <w:r w:rsidRPr="00B56B1C">
        <w:t>financial assets</w:t>
      </w:r>
      <w:bookmarkEnd w:id="40"/>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color w:val="FFFFFF"/>
                <w:lang w:eastAsia="en-AU"/>
              </w:rPr>
            </w:pPr>
            <w:r w:rsidRPr="00820AF8">
              <w:rPr>
                <w:rFonts w:eastAsiaTheme="minorEastAsia"/>
                <w:color w:val="FFFFFF"/>
                <w:lang w:eastAsia="en-AU"/>
              </w:rPr>
              <w:t xml:space="preserve"> </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Purchases of non</w:t>
            </w:r>
            <w:r>
              <w:rPr>
                <w:rFonts w:eastAsiaTheme="minorEastAsia"/>
                <w:lang w:eastAsia="en-AU"/>
              </w:rPr>
              <w:noBreakHyphen/>
            </w:r>
            <w:r w:rsidRPr="00820AF8">
              <w:rPr>
                <w:rFonts w:eastAsiaTheme="minorEastAsia"/>
                <w:lang w:eastAsia="en-AU"/>
              </w:rPr>
              <w:t>financial assets (including change in inventories)</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4 868.9</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4 185.2</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4 389.5</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3 096.8</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4 111.2</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Less: Sales of non</w:t>
            </w:r>
            <w:r>
              <w:rPr>
                <w:rFonts w:eastAsiaTheme="minorEastAsia"/>
                <w:lang w:eastAsia="en-AU"/>
              </w:rPr>
              <w:noBreakHyphen/>
            </w:r>
            <w:r w:rsidRPr="00820AF8">
              <w:rPr>
                <w:rFonts w:eastAsiaTheme="minorEastAsia"/>
                <w:lang w:eastAsia="en-AU"/>
              </w:rPr>
              <w:t>financial assets</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( 420.2)</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( 407.7)</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( 419.3)</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( 485.8)</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( 445.2)</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Less: Depreciation</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(2 377.7)</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(2 408.9)</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(2 511.9)</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(2 619.7)</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(2 786.4)</w:t>
            </w:r>
          </w:p>
        </w:tc>
      </w:tr>
      <w:tr w:rsidR="00F60B5F" w:rsidRPr="00820AF8" w:rsidTr="00820AF8">
        <w:tc>
          <w:tcPr>
            <w:tcW w:w="2790"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Plus: Other movements in non</w:t>
            </w:r>
            <w:r>
              <w:rPr>
                <w:rFonts w:eastAsiaTheme="minorEastAsia"/>
                <w:lang w:eastAsia="en-AU"/>
              </w:rPr>
              <w:noBreakHyphen/>
            </w:r>
            <w:r w:rsidRPr="00820AF8">
              <w:rPr>
                <w:rFonts w:eastAsiaTheme="minorEastAsia"/>
                <w:lang w:eastAsia="en-AU"/>
              </w:rPr>
              <w:t>financial assets</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48.9</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159.9</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80.3</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1 118.0</w:t>
            </w:r>
          </w:p>
        </w:tc>
        <w:tc>
          <w:tcPr>
            <w:tcW w:w="994" w:type="dxa"/>
            <w:tcBorders>
              <w:top w:val="nil"/>
              <w:left w:val="nil"/>
              <w:bottom w:val="single" w:sz="6" w:space="0" w:color="auto"/>
              <w:right w:val="nil"/>
            </w:tcBorders>
          </w:tcPr>
          <w:p w:rsidR="00F60B5F" w:rsidRPr="00820AF8" w:rsidRDefault="00F60B5F" w:rsidP="00820AF8">
            <w:pPr>
              <w:pStyle w:val="TableofFigures"/>
              <w:rPr>
                <w:rFonts w:eastAsiaTheme="minorEastAsia"/>
                <w:szCs w:val="22"/>
                <w:lang w:eastAsia="en-AU"/>
              </w:rPr>
            </w:pPr>
            <w:r w:rsidRPr="00820AF8">
              <w:rPr>
                <w:rFonts w:eastAsiaTheme="minorEastAsia"/>
                <w:szCs w:val="22"/>
                <w:lang w:eastAsia="en-AU"/>
              </w:rPr>
              <w:t xml:space="preserve"> 318.5</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net acquisition of non</w:t>
            </w:r>
            <w:r>
              <w:rPr>
                <w:rFonts w:eastAsiaTheme="minorEastAsia"/>
                <w:b/>
                <w:bCs/>
                <w:lang w:eastAsia="en-AU"/>
              </w:rPr>
              <w:noBreakHyphen/>
            </w:r>
            <w:r w:rsidRPr="00820AF8">
              <w:rPr>
                <w:rFonts w:eastAsiaTheme="minorEastAsia"/>
                <w:b/>
                <w:bCs/>
                <w:lang w:eastAsia="en-AU"/>
              </w:rPr>
              <w:t>financial assets</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2 120.0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1 528.6</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1 538.6</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1 109.4</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szCs w:val="22"/>
                <w:lang w:eastAsia="en-AU"/>
              </w:rPr>
            </w:pPr>
            <w:r w:rsidRPr="00820AF8">
              <w:rPr>
                <w:rFonts w:eastAsiaTheme="minorEastAsia"/>
                <w:b/>
                <w:bCs/>
                <w:szCs w:val="22"/>
                <w:lang w:eastAsia="en-AU"/>
              </w:rPr>
              <w:t>1 198.1</w:t>
            </w:r>
          </w:p>
        </w:tc>
      </w:tr>
    </w:tbl>
    <w:p w:rsidR="00F60B5F" w:rsidRPr="00B56B1C" w:rsidRDefault="00F60B5F" w:rsidP="00172054"/>
    <w:p w:rsidR="00F60B5F" w:rsidRPr="00B56B1C" w:rsidRDefault="00F60B5F" w:rsidP="00172054"/>
    <w:p w:rsidR="00F60B5F" w:rsidRPr="00B56B1C" w:rsidRDefault="00F60B5F" w:rsidP="00C54DC6">
      <w:pPr>
        <w:pStyle w:val="Heading2Notes"/>
      </w:pPr>
      <w:bookmarkStart w:id="41" w:name="_Toc373751822"/>
      <w:r w:rsidRPr="00B56B1C">
        <w:t>Note 16:</w:t>
      </w:r>
      <w:r w:rsidRPr="00B56B1C">
        <w:tab/>
        <w:t>Advances p</w:t>
      </w:r>
      <w:r>
        <w:t xml:space="preserve">aid and investments, loans and </w:t>
      </w:r>
      <w:r w:rsidRPr="00B56B1C">
        <w:t>placements</w:t>
      </w:r>
      <w:bookmarkEnd w:id="41"/>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3257"/>
        <w:gridCol w:w="900"/>
        <w:gridCol w:w="901"/>
        <w:gridCol w:w="900"/>
        <w:gridCol w:w="901"/>
        <w:gridCol w:w="901"/>
      </w:tblGrid>
      <w:tr w:rsidR="00F60B5F" w:rsidRPr="00820AF8" w:rsidTr="00820AF8">
        <w:tc>
          <w:tcPr>
            <w:tcW w:w="3257"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 xml:space="preserve"> </w:t>
            </w:r>
          </w:p>
        </w:tc>
        <w:tc>
          <w:tcPr>
            <w:tcW w:w="900"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2013</w:t>
            </w:r>
            <w:r>
              <w:rPr>
                <w:rFonts w:eastAsiaTheme="minorEastAsia"/>
                <w:iCs/>
                <w:szCs w:val="22"/>
                <w:lang w:eastAsia="en-AU"/>
              </w:rPr>
              <w:noBreakHyphen/>
            </w:r>
            <w:r w:rsidRPr="00820AF8">
              <w:rPr>
                <w:rFonts w:eastAsiaTheme="minorEastAsia"/>
                <w:iCs/>
                <w:szCs w:val="22"/>
                <w:lang w:eastAsia="en-AU"/>
              </w:rPr>
              <w:t>14</w:t>
            </w:r>
          </w:p>
        </w:tc>
        <w:tc>
          <w:tcPr>
            <w:tcW w:w="901"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2013</w:t>
            </w:r>
            <w:r>
              <w:rPr>
                <w:rFonts w:eastAsiaTheme="minorEastAsia"/>
                <w:iCs/>
                <w:szCs w:val="22"/>
                <w:lang w:eastAsia="en-AU"/>
              </w:rPr>
              <w:noBreakHyphen/>
            </w:r>
            <w:r w:rsidRPr="00820AF8">
              <w:rPr>
                <w:rFonts w:eastAsiaTheme="minorEastAsia"/>
                <w:iCs/>
                <w:szCs w:val="22"/>
                <w:lang w:eastAsia="en-AU"/>
              </w:rPr>
              <w:t>14</w:t>
            </w:r>
          </w:p>
        </w:tc>
        <w:tc>
          <w:tcPr>
            <w:tcW w:w="900"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2014</w:t>
            </w:r>
            <w:r>
              <w:rPr>
                <w:rFonts w:eastAsiaTheme="minorEastAsia"/>
                <w:iCs/>
                <w:szCs w:val="22"/>
                <w:lang w:eastAsia="en-AU"/>
              </w:rPr>
              <w:noBreakHyphen/>
            </w:r>
            <w:r w:rsidRPr="00820AF8">
              <w:rPr>
                <w:rFonts w:eastAsiaTheme="minorEastAsia"/>
                <w:iCs/>
                <w:szCs w:val="22"/>
                <w:lang w:eastAsia="en-AU"/>
              </w:rPr>
              <w:t>15</w:t>
            </w:r>
          </w:p>
        </w:tc>
        <w:tc>
          <w:tcPr>
            <w:tcW w:w="901"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2015</w:t>
            </w:r>
            <w:r>
              <w:rPr>
                <w:rFonts w:eastAsiaTheme="minorEastAsia"/>
                <w:iCs/>
                <w:szCs w:val="22"/>
                <w:lang w:eastAsia="en-AU"/>
              </w:rPr>
              <w:noBreakHyphen/>
            </w:r>
            <w:r w:rsidRPr="00820AF8">
              <w:rPr>
                <w:rFonts w:eastAsiaTheme="minorEastAsia"/>
                <w:iCs/>
                <w:szCs w:val="22"/>
                <w:lang w:eastAsia="en-AU"/>
              </w:rPr>
              <w:t>16</w:t>
            </w:r>
          </w:p>
        </w:tc>
        <w:tc>
          <w:tcPr>
            <w:tcW w:w="901"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2016</w:t>
            </w:r>
            <w:r>
              <w:rPr>
                <w:rFonts w:eastAsiaTheme="minorEastAsia"/>
                <w:iCs/>
                <w:szCs w:val="22"/>
                <w:lang w:eastAsia="en-AU"/>
              </w:rPr>
              <w:noBreakHyphen/>
            </w:r>
            <w:r w:rsidRPr="00820AF8">
              <w:rPr>
                <w:rFonts w:eastAsiaTheme="minorEastAsia"/>
                <w:iCs/>
                <w:szCs w:val="22"/>
                <w:lang w:eastAsia="en-AU"/>
              </w:rPr>
              <w:t>17</w:t>
            </w:r>
          </w:p>
        </w:tc>
      </w:tr>
      <w:tr w:rsidR="00F60B5F" w:rsidRPr="00820AF8" w:rsidTr="00820AF8">
        <w:tc>
          <w:tcPr>
            <w:tcW w:w="3257"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 xml:space="preserve"> </w:t>
            </w:r>
          </w:p>
        </w:tc>
        <w:tc>
          <w:tcPr>
            <w:tcW w:w="900"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Budget</w:t>
            </w:r>
          </w:p>
        </w:tc>
        <w:tc>
          <w:tcPr>
            <w:tcW w:w="901"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Revised</w:t>
            </w:r>
          </w:p>
        </w:tc>
        <w:tc>
          <w:tcPr>
            <w:tcW w:w="900"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Estimate</w:t>
            </w:r>
          </w:p>
        </w:tc>
        <w:tc>
          <w:tcPr>
            <w:tcW w:w="901"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Estimate</w:t>
            </w:r>
          </w:p>
        </w:tc>
        <w:tc>
          <w:tcPr>
            <w:tcW w:w="901"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Estimate</w:t>
            </w:r>
          </w:p>
        </w:tc>
      </w:tr>
      <w:tr w:rsidR="00F60B5F" w:rsidRPr="00820AF8" w:rsidTr="00820AF8">
        <w:tc>
          <w:tcPr>
            <w:tcW w:w="3257" w:type="dxa"/>
            <w:tcBorders>
              <w:top w:val="single" w:sz="6" w:space="0" w:color="000000"/>
              <w:left w:val="nil"/>
              <w:bottom w:val="nil"/>
              <w:right w:val="nil"/>
            </w:tcBorders>
            <w:shd w:val="solid" w:color="FFFFFF"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Current advances paid and investments, loans and placements</w:t>
            </w:r>
          </w:p>
        </w:tc>
        <w:tc>
          <w:tcPr>
            <w:tcW w:w="900"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b/>
                <w:bCs/>
                <w:i/>
                <w:iCs/>
                <w:lang w:eastAsia="en-AU"/>
              </w:rPr>
            </w:pPr>
            <w:r w:rsidRPr="00820AF8">
              <w:rPr>
                <w:rFonts w:eastAsiaTheme="minorEastAsia"/>
                <w:b/>
                <w:bCs/>
                <w:i/>
                <w:iCs/>
                <w:lang w:eastAsia="en-AU"/>
              </w:rPr>
              <w:t xml:space="preserve"> </w:t>
            </w:r>
          </w:p>
        </w:tc>
        <w:tc>
          <w:tcPr>
            <w:tcW w:w="901"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b/>
                <w:bCs/>
                <w:i/>
                <w:iCs/>
                <w:lang w:eastAsia="en-AU"/>
              </w:rPr>
            </w:pPr>
            <w:r w:rsidRPr="00820AF8">
              <w:rPr>
                <w:rFonts w:eastAsiaTheme="minorEastAsia"/>
                <w:b/>
                <w:bCs/>
                <w:i/>
                <w:iCs/>
                <w:lang w:eastAsia="en-AU"/>
              </w:rPr>
              <w:t xml:space="preserve"> </w:t>
            </w:r>
          </w:p>
        </w:tc>
        <w:tc>
          <w:tcPr>
            <w:tcW w:w="900"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b/>
                <w:bCs/>
                <w:i/>
                <w:iCs/>
                <w:lang w:eastAsia="en-AU"/>
              </w:rPr>
            </w:pPr>
            <w:r w:rsidRPr="00820AF8">
              <w:rPr>
                <w:rFonts w:eastAsiaTheme="minorEastAsia"/>
                <w:b/>
                <w:bCs/>
                <w:i/>
                <w:iCs/>
                <w:lang w:eastAsia="en-AU"/>
              </w:rPr>
              <w:t xml:space="preserve"> </w:t>
            </w:r>
          </w:p>
        </w:tc>
        <w:tc>
          <w:tcPr>
            <w:tcW w:w="901"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b/>
                <w:bCs/>
                <w:i/>
                <w:iCs/>
                <w:lang w:eastAsia="en-AU"/>
              </w:rPr>
            </w:pPr>
            <w:r w:rsidRPr="00820AF8">
              <w:rPr>
                <w:rFonts w:eastAsiaTheme="minorEastAsia"/>
                <w:b/>
                <w:bCs/>
                <w:i/>
                <w:iCs/>
                <w:lang w:eastAsia="en-AU"/>
              </w:rPr>
              <w:t xml:space="preserve"> </w:t>
            </w:r>
          </w:p>
        </w:tc>
        <w:tc>
          <w:tcPr>
            <w:tcW w:w="901"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b/>
                <w:bCs/>
                <w:i/>
                <w:iCs/>
                <w:lang w:eastAsia="en-AU"/>
              </w:rPr>
            </w:pPr>
            <w:r w:rsidRPr="00820AF8">
              <w:rPr>
                <w:rFonts w:eastAsiaTheme="minorEastAsia"/>
                <w:b/>
                <w:bCs/>
                <w:i/>
                <w:iCs/>
                <w:lang w:eastAsia="en-AU"/>
              </w:rPr>
              <w:t xml:space="preserve"> </w:t>
            </w:r>
          </w:p>
        </w:tc>
      </w:tr>
      <w:tr w:rsidR="00F60B5F" w:rsidRPr="00820AF8" w:rsidTr="00820AF8">
        <w:tc>
          <w:tcPr>
            <w:tcW w:w="325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Loans and advances receivable</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63.6</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63.7</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63.7</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63.7</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63.7</w:t>
            </w:r>
          </w:p>
        </w:tc>
      </w:tr>
      <w:tr w:rsidR="00F60B5F" w:rsidRPr="00820AF8" w:rsidTr="00820AF8">
        <w:tc>
          <w:tcPr>
            <w:tcW w:w="3257" w:type="dxa"/>
            <w:tcBorders>
              <w:top w:val="nil"/>
              <w:left w:val="nil"/>
              <w:bottom w:val="nil"/>
              <w:right w:val="nil"/>
            </w:tcBorders>
            <w:shd w:val="solid" w:color="FFFFFF" w:fill="auto"/>
          </w:tcPr>
          <w:p w:rsidR="00F60B5F" w:rsidRPr="00820AF8" w:rsidRDefault="00F60B5F" w:rsidP="00820AF8">
            <w:pPr>
              <w:pStyle w:val="Tabletext"/>
              <w:rPr>
                <w:rFonts w:eastAsiaTheme="minorEastAsia"/>
                <w:lang w:eastAsia="en-AU"/>
              </w:rPr>
            </w:pPr>
            <w:r w:rsidRPr="00820AF8">
              <w:rPr>
                <w:rFonts w:eastAsiaTheme="minorEastAsia"/>
                <w:lang w:eastAsia="en-AU"/>
              </w:rPr>
              <w:t xml:space="preserve">Equities and managed investment schemes </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476.2</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480.8</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508.2</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512.6</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516.6</w:t>
            </w:r>
          </w:p>
        </w:tc>
      </w:tr>
      <w:tr w:rsidR="00F60B5F" w:rsidRPr="00820AF8" w:rsidTr="00820AF8">
        <w:tc>
          <w:tcPr>
            <w:tcW w:w="3257" w:type="dxa"/>
            <w:tcBorders>
              <w:top w:val="nil"/>
              <w:left w:val="nil"/>
              <w:bottom w:val="nil"/>
              <w:right w:val="nil"/>
            </w:tcBorders>
            <w:shd w:val="solid" w:color="FFFFFF" w:fill="auto"/>
          </w:tcPr>
          <w:p w:rsidR="00F60B5F" w:rsidRPr="00820AF8" w:rsidRDefault="00F60B5F" w:rsidP="00820AF8">
            <w:pPr>
              <w:pStyle w:val="Tabletext"/>
              <w:rPr>
                <w:rFonts w:eastAsiaTheme="minorEastAsia"/>
                <w:lang w:eastAsia="en-AU"/>
              </w:rPr>
            </w:pPr>
            <w:r w:rsidRPr="00820AF8">
              <w:rPr>
                <w:rFonts w:eastAsiaTheme="minorEastAsia"/>
                <w:lang w:eastAsia="en-AU"/>
              </w:rPr>
              <w:t>Australian dollar term deposits</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2 539.6</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2 466.3</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2 525.1</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2 629.8</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2 743.9</w:t>
            </w:r>
          </w:p>
        </w:tc>
      </w:tr>
      <w:tr w:rsidR="00F60B5F" w:rsidRPr="00820AF8" w:rsidTr="00820AF8">
        <w:tc>
          <w:tcPr>
            <w:tcW w:w="3257" w:type="dxa"/>
            <w:tcBorders>
              <w:top w:val="nil"/>
              <w:left w:val="nil"/>
              <w:bottom w:val="nil"/>
              <w:right w:val="nil"/>
            </w:tcBorders>
            <w:shd w:val="solid" w:color="FFFFFF" w:fill="auto"/>
          </w:tcPr>
          <w:p w:rsidR="00F60B5F" w:rsidRPr="00820AF8" w:rsidRDefault="00F60B5F" w:rsidP="00820AF8">
            <w:pPr>
              <w:pStyle w:val="Tabletext"/>
              <w:rPr>
                <w:rFonts w:eastAsiaTheme="minorEastAsia"/>
                <w:lang w:eastAsia="en-AU"/>
              </w:rPr>
            </w:pPr>
            <w:r w:rsidRPr="00820AF8">
              <w:rPr>
                <w:rFonts w:eastAsiaTheme="minorEastAsia"/>
                <w:lang w:eastAsia="en-AU"/>
              </w:rPr>
              <w:t>Debt securities</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1.8</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1.8</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1.8</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1.8</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1.8</w:t>
            </w:r>
          </w:p>
        </w:tc>
      </w:tr>
      <w:tr w:rsidR="00F60B5F" w:rsidRPr="00820AF8" w:rsidTr="00820AF8">
        <w:tc>
          <w:tcPr>
            <w:tcW w:w="3257" w:type="dxa"/>
            <w:tcBorders>
              <w:top w:val="single" w:sz="6" w:space="0" w:color="auto"/>
              <w:left w:val="nil"/>
              <w:bottom w:val="nil"/>
              <w:right w:val="nil"/>
            </w:tcBorders>
            <w:shd w:val="solid" w:color="FFFFFF" w:fill="auto"/>
          </w:tcPr>
          <w:p w:rsidR="00F60B5F" w:rsidRPr="00820AF8" w:rsidRDefault="00F60B5F" w:rsidP="00820AF8">
            <w:pPr>
              <w:pStyle w:val="Tabletext"/>
              <w:rPr>
                <w:rFonts w:eastAsiaTheme="minorEastAsia" w:cs="Calibri"/>
                <w:b/>
                <w:bCs/>
                <w:lang w:eastAsia="en-AU"/>
              </w:rPr>
            </w:pPr>
            <w:r w:rsidRPr="00820AF8">
              <w:rPr>
                <w:rFonts w:eastAsiaTheme="minorEastAsia"/>
                <w:b/>
                <w:bCs/>
                <w:lang w:eastAsia="en-AU"/>
              </w:rPr>
              <w:t xml:space="preserve">Total current advances paid </w:t>
            </w:r>
            <w:r w:rsidRPr="00820AF8">
              <w:rPr>
                <w:rFonts w:eastAsiaTheme="minorEastAsia" w:cs="Calibri"/>
                <w:b/>
                <w:bCs/>
                <w:lang w:eastAsia="en-AU"/>
              </w:rPr>
              <w:t>and investments, loans and placements</w:t>
            </w:r>
          </w:p>
        </w:tc>
        <w:tc>
          <w:tcPr>
            <w:tcW w:w="900" w:type="dxa"/>
            <w:tcBorders>
              <w:top w:val="single" w:sz="6" w:space="0" w:color="auto"/>
              <w:left w:val="nil"/>
              <w:bottom w:val="nil"/>
              <w:right w:val="nil"/>
            </w:tcBorders>
            <w:shd w:val="solid" w:color="FFFFFF"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3 081.1</w:t>
            </w:r>
          </w:p>
        </w:tc>
        <w:tc>
          <w:tcPr>
            <w:tcW w:w="901" w:type="dxa"/>
            <w:tcBorders>
              <w:top w:val="single" w:sz="6" w:space="0" w:color="auto"/>
              <w:left w:val="nil"/>
              <w:bottom w:val="nil"/>
              <w:right w:val="nil"/>
            </w:tcBorders>
            <w:shd w:val="solid" w:color="FFFFFF"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3 012.6</w:t>
            </w:r>
          </w:p>
        </w:tc>
        <w:tc>
          <w:tcPr>
            <w:tcW w:w="900" w:type="dxa"/>
            <w:tcBorders>
              <w:top w:val="single" w:sz="6" w:space="0" w:color="auto"/>
              <w:left w:val="nil"/>
              <w:bottom w:val="nil"/>
              <w:right w:val="nil"/>
            </w:tcBorders>
            <w:shd w:val="solid" w:color="FFFFFF"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3 098.8</w:t>
            </w:r>
          </w:p>
        </w:tc>
        <w:tc>
          <w:tcPr>
            <w:tcW w:w="901" w:type="dxa"/>
            <w:tcBorders>
              <w:top w:val="single" w:sz="6" w:space="0" w:color="auto"/>
              <w:left w:val="nil"/>
              <w:bottom w:val="nil"/>
              <w:right w:val="nil"/>
            </w:tcBorders>
            <w:shd w:val="solid" w:color="FFFFFF"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3 207.9</w:t>
            </w:r>
          </w:p>
        </w:tc>
        <w:tc>
          <w:tcPr>
            <w:tcW w:w="901" w:type="dxa"/>
            <w:tcBorders>
              <w:top w:val="single" w:sz="6" w:space="0" w:color="auto"/>
              <w:left w:val="nil"/>
              <w:bottom w:val="nil"/>
              <w:right w:val="nil"/>
            </w:tcBorders>
            <w:shd w:val="solid" w:color="FFFFFF"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3 326.0</w:t>
            </w:r>
          </w:p>
        </w:tc>
      </w:tr>
      <w:tr w:rsidR="00F60B5F" w:rsidRPr="00820AF8" w:rsidTr="00820AF8">
        <w:tc>
          <w:tcPr>
            <w:tcW w:w="3257" w:type="dxa"/>
            <w:tcBorders>
              <w:top w:val="nil"/>
              <w:left w:val="nil"/>
              <w:bottom w:val="nil"/>
              <w:right w:val="nil"/>
            </w:tcBorders>
            <w:shd w:val="solid" w:color="FFFFFF" w:fill="auto"/>
          </w:tcPr>
          <w:p w:rsidR="00F60B5F" w:rsidRPr="00820AF8" w:rsidRDefault="00F60B5F" w:rsidP="00820AF8">
            <w:pPr>
              <w:pStyle w:val="Tabletext"/>
              <w:rPr>
                <w:rFonts w:eastAsiaTheme="minorEastAsia" w:cs="Calibri"/>
                <w:b/>
                <w:bCs/>
                <w:lang w:eastAsia="en-AU"/>
              </w:rPr>
            </w:pPr>
            <w:r w:rsidRPr="00820AF8">
              <w:rPr>
                <w:rFonts w:eastAsiaTheme="minorEastAsia"/>
                <w:b/>
                <w:bCs/>
                <w:lang w:eastAsia="en-AU"/>
              </w:rPr>
              <w:t>Non</w:t>
            </w:r>
            <w:r>
              <w:rPr>
                <w:rFonts w:eastAsiaTheme="minorEastAsia"/>
                <w:b/>
                <w:bCs/>
                <w:lang w:eastAsia="en-AU"/>
              </w:rPr>
              <w:noBreakHyphen/>
            </w:r>
            <w:r w:rsidRPr="00820AF8">
              <w:rPr>
                <w:rFonts w:eastAsiaTheme="minorEastAsia"/>
                <w:b/>
                <w:bCs/>
                <w:lang w:eastAsia="en-AU"/>
              </w:rPr>
              <w:t xml:space="preserve">current advances </w:t>
            </w:r>
            <w:r w:rsidRPr="00820AF8">
              <w:rPr>
                <w:rFonts w:eastAsiaTheme="minorEastAsia" w:cs="Calibri"/>
                <w:b/>
                <w:bCs/>
                <w:lang w:eastAsia="en-AU"/>
              </w:rPr>
              <w:t>paid and investments, loans and placements</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w:t>
            </w:r>
          </w:p>
        </w:tc>
      </w:tr>
      <w:tr w:rsidR="00F60B5F" w:rsidRPr="00820AF8" w:rsidTr="00820AF8">
        <w:tc>
          <w:tcPr>
            <w:tcW w:w="3257" w:type="dxa"/>
            <w:tcBorders>
              <w:top w:val="nil"/>
              <w:left w:val="nil"/>
              <w:bottom w:val="nil"/>
              <w:right w:val="nil"/>
            </w:tcBorders>
          </w:tcPr>
          <w:p w:rsidR="00F60B5F" w:rsidRPr="00820AF8" w:rsidRDefault="00F60B5F" w:rsidP="00820AF8">
            <w:pPr>
              <w:pStyle w:val="Tabletext"/>
              <w:rPr>
                <w:rFonts w:eastAsiaTheme="minorEastAsia" w:cs="Calibri"/>
                <w:lang w:eastAsia="en-AU"/>
              </w:rPr>
            </w:pPr>
            <w:r w:rsidRPr="00820AF8">
              <w:rPr>
                <w:rFonts w:eastAsiaTheme="minorEastAsia"/>
                <w:lang w:eastAsia="en-AU"/>
              </w:rPr>
              <w:t xml:space="preserve">Loans and advances </w:t>
            </w:r>
            <w:r w:rsidRPr="00820AF8">
              <w:rPr>
                <w:rFonts w:eastAsiaTheme="minorEastAsia" w:cs="Calibri"/>
                <w:lang w:eastAsia="en-AU"/>
              </w:rPr>
              <w:t>receivable</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4 520.9</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4 526.7</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4 477.5</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4 421.1</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4 393.1</w:t>
            </w:r>
          </w:p>
        </w:tc>
      </w:tr>
      <w:tr w:rsidR="00F60B5F" w:rsidRPr="00820AF8" w:rsidTr="00820AF8">
        <w:tc>
          <w:tcPr>
            <w:tcW w:w="3257" w:type="dxa"/>
            <w:tcBorders>
              <w:top w:val="nil"/>
              <w:left w:val="nil"/>
              <w:bottom w:val="nil"/>
              <w:right w:val="nil"/>
            </w:tcBorders>
            <w:shd w:val="solid" w:color="FFFFFF" w:fill="auto"/>
          </w:tcPr>
          <w:p w:rsidR="00F60B5F" w:rsidRPr="00820AF8" w:rsidRDefault="00F60B5F" w:rsidP="00820AF8">
            <w:pPr>
              <w:pStyle w:val="Tabletext"/>
              <w:rPr>
                <w:rFonts w:eastAsiaTheme="minorEastAsia" w:cs="Calibri"/>
                <w:lang w:eastAsia="en-AU"/>
              </w:rPr>
            </w:pPr>
            <w:r w:rsidRPr="00820AF8">
              <w:rPr>
                <w:rFonts w:eastAsiaTheme="minorEastAsia"/>
                <w:lang w:eastAsia="en-AU"/>
              </w:rPr>
              <w:t xml:space="preserve">Equities and managed </w:t>
            </w:r>
            <w:r w:rsidRPr="00820AF8">
              <w:rPr>
                <w:rFonts w:eastAsiaTheme="minorEastAsia" w:cs="Calibri"/>
                <w:lang w:eastAsia="en-AU"/>
              </w:rPr>
              <w:t xml:space="preserve">investment schemes </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212.5</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209.7</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207.3</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193.2</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163.4</w:t>
            </w:r>
          </w:p>
        </w:tc>
      </w:tr>
      <w:tr w:rsidR="00F60B5F" w:rsidRPr="00820AF8" w:rsidTr="00820AF8">
        <w:tc>
          <w:tcPr>
            <w:tcW w:w="3257" w:type="dxa"/>
            <w:tcBorders>
              <w:top w:val="nil"/>
              <w:left w:val="nil"/>
              <w:bottom w:val="nil"/>
              <w:right w:val="nil"/>
            </w:tcBorders>
            <w:shd w:val="solid" w:color="FFFFFF" w:fill="auto"/>
          </w:tcPr>
          <w:p w:rsidR="00F60B5F" w:rsidRPr="00820AF8" w:rsidRDefault="00F60B5F" w:rsidP="00820AF8">
            <w:pPr>
              <w:pStyle w:val="Tabletext"/>
              <w:rPr>
                <w:rFonts w:eastAsiaTheme="minorEastAsia"/>
                <w:lang w:eastAsia="en-AU"/>
              </w:rPr>
            </w:pPr>
            <w:r w:rsidRPr="00820AF8">
              <w:rPr>
                <w:rFonts w:eastAsiaTheme="minorEastAsia"/>
                <w:lang w:eastAsia="en-AU"/>
              </w:rPr>
              <w:t>Australian dollar term deposits</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197.6</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208.8</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210.2</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211.6</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213.2</w:t>
            </w:r>
          </w:p>
        </w:tc>
      </w:tr>
      <w:tr w:rsidR="00F60B5F" w:rsidRPr="00820AF8" w:rsidTr="00820AF8">
        <w:tc>
          <w:tcPr>
            <w:tcW w:w="3257" w:type="dxa"/>
            <w:tcBorders>
              <w:top w:val="nil"/>
              <w:left w:val="nil"/>
              <w:bottom w:val="nil"/>
              <w:right w:val="nil"/>
            </w:tcBorders>
            <w:shd w:val="solid" w:color="FFFFFF" w:fill="auto"/>
          </w:tcPr>
          <w:p w:rsidR="00F60B5F" w:rsidRPr="00820AF8" w:rsidRDefault="00F60B5F" w:rsidP="00820AF8">
            <w:pPr>
              <w:pStyle w:val="Tabletext"/>
              <w:rPr>
                <w:rFonts w:eastAsiaTheme="minorEastAsia"/>
                <w:lang w:eastAsia="en-AU"/>
              </w:rPr>
            </w:pPr>
            <w:r w:rsidRPr="00820AF8">
              <w:rPr>
                <w:rFonts w:eastAsiaTheme="minorEastAsia"/>
                <w:lang w:eastAsia="en-AU"/>
              </w:rPr>
              <w:t>Debt securities</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39.9</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39.9</w:t>
            </w:r>
          </w:p>
        </w:tc>
        <w:tc>
          <w:tcPr>
            <w:tcW w:w="900"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39.9</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39.9</w:t>
            </w:r>
          </w:p>
        </w:tc>
        <w:tc>
          <w:tcPr>
            <w:tcW w:w="901"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 39.9</w:t>
            </w:r>
          </w:p>
        </w:tc>
      </w:tr>
      <w:tr w:rsidR="00F60B5F" w:rsidRPr="00820AF8" w:rsidTr="00820AF8">
        <w:tc>
          <w:tcPr>
            <w:tcW w:w="3257" w:type="dxa"/>
            <w:tcBorders>
              <w:top w:val="single" w:sz="6" w:space="0" w:color="auto"/>
              <w:left w:val="nil"/>
              <w:bottom w:val="single" w:sz="6" w:space="0" w:color="auto"/>
              <w:right w:val="nil"/>
            </w:tcBorders>
            <w:shd w:val="solid" w:color="FFFFFF" w:fill="auto"/>
          </w:tcPr>
          <w:p w:rsidR="00F60B5F" w:rsidRPr="00820AF8" w:rsidRDefault="00F60B5F" w:rsidP="00820AF8">
            <w:pPr>
              <w:pStyle w:val="Tabletext"/>
              <w:rPr>
                <w:rFonts w:eastAsiaTheme="minorEastAsia" w:cs="Calibri"/>
                <w:b/>
                <w:bCs/>
                <w:lang w:eastAsia="en-AU"/>
              </w:rPr>
            </w:pPr>
            <w:r w:rsidRPr="00820AF8">
              <w:rPr>
                <w:rFonts w:eastAsiaTheme="minorEastAsia"/>
                <w:b/>
                <w:bCs/>
                <w:lang w:eastAsia="en-AU"/>
              </w:rPr>
              <w:t>Total non</w:t>
            </w:r>
            <w:r>
              <w:rPr>
                <w:rFonts w:eastAsiaTheme="minorEastAsia"/>
                <w:b/>
                <w:bCs/>
                <w:lang w:eastAsia="en-AU"/>
              </w:rPr>
              <w:noBreakHyphen/>
            </w:r>
            <w:r w:rsidRPr="00820AF8">
              <w:rPr>
                <w:rFonts w:eastAsiaTheme="minorEastAsia"/>
                <w:b/>
                <w:bCs/>
                <w:lang w:eastAsia="en-AU"/>
              </w:rPr>
              <w:t xml:space="preserve">current advances paid </w:t>
            </w:r>
            <w:r w:rsidRPr="00820AF8">
              <w:rPr>
                <w:rFonts w:eastAsiaTheme="minorEastAsia" w:cs="Calibri"/>
                <w:b/>
                <w:bCs/>
                <w:lang w:eastAsia="en-AU"/>
              </w:rPr>
              <w:t>and investments, loans and placements</w:t>
            </w:r>
          </w:p>
        </w:tc>
        <w:tc>
          <w:tcPr>
            <w:tcW w:w="900" w:type="dxa"/>
            <w:tcBorders>
              <w:top w:val="single" w:sz="6" w:space="0" w:color="auto"/>
              <w:left w:val="nil"/>
              <w:bottom w:val="single" w:sz="6" w:space="0" w:color="auto"/>
              <w:right w:val="nil"/>
            </w:tcBorders>
            <w:shd w:val="solid" w:color="FFFFFF"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4 970.9</w:t>
            </w:r>
          </w:p>
        </w:tc>
        <w:tc>
          <w:tcPr>
            <w:tcW w:w="901" w:type="dxa"/>
            <w:tcBorders>
              <w:top w:val="single" w:sz="6" w:space="0" w:color="auto"/>
              <w:left w:val="nil"/>
              <w:bottom w:val="single" w:sz="6" w:space="0" w:color="auto"/>
              <w:right w:val="nil"/>
            </w:tcBorders>
            <w:shd w:val="solid" w:color="FFFFFF"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4 985.1</w:t>
            </w:r>
          </w:p>
        </w:tc>
        <w:tc>
          <w:tcPr>
            <w:tcW w:w="900" w:type="dxa"/>
            <w:tcBorders>
              <w:top w:val="single" w:sz="6" w:space="0" w:color="auto"/>
              <w:left w:val="nil"/>
              <w:bottom w:val="single" w:sz="6" w:space="0" w:color="auto"/>
              <w:right w:val="nil"/>
            </w:tcBorders>
            <w:shd w:val="solid" w:color="FFFFFF"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4 934.9</w:t>
            </w:r>
          </w:p>
        </w:tc>
        <w:tc>
          <w:tcPr>
            <w:tcW w:w="901" w:type="dxa"/>
            <w:tcBorders>
              <w:top w:val="single" w:sz="6" w:space="0" w:color="auto"/>
              <w:left w:val="nil"/>
              <w:bottom w:val="single" w:sz="6" w:space="0" w:color="auto"/>
              <w:right w:val="nil"/>
            </w:tcBorders>
            <w:shd w:val="solid" w:color="FFFFFF"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4 865.9</w:t>
            </w:r>
          </w:p>
        </w:tc>
        <w:tc>
          <w:tcPr>
            <w:tcW w:w="901" w:type="dxa"/>
            <w:tcBorders>
              <w:top w:val="single" w:sz="6" w:space="0" w:color="auto"/>
              <w:left w:val="nil"/>
              <w:bottom w:val="single" w:sz="6" w:space="0" w:color="auto"/>
              <w:right w:val="nil"/>
            </w:tcBorders>
            <w:shd w:val="solid" w:color="FFFFFF"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4 809.7</w:t>
            </w:r>
          </w:p>
        </w:tc>
      </w:tr>
      <w:tr w:rsidR="00F60B5F" w:rsidRPr="00820AF8" w:rsidTr="00820AF8">
        <w:tc>
          <w:tcPr>
            <w:tcW w:w="3257" w:type="dxa"/>
            <w:tcBorders>
              <w:top w:val="single" w:sz="6" w:space="0" w:color="auto"/>
              <w:left w:val="nil"/>
              <w:bottom w:val="single" w:sz="12" w:space="0" w:color="000000"/>
              <w:right w:val="nil"/>
            </w:tcBorders>
            <w:shd w:val="solid" w:color="FFFFFF" w:fill="auto"/>
          </w:tcPr>
          <w:p w:rsidR="00F60B5F" w:rsidRPr="00820AF8" w:rsidRDefault="00F60B5F" w:rsidP="00820AF8">
            <w:pPr>
              <w:pStyle w:val="Tabletext"/>
              <w:rPr>
                <w:rFonts w:eastAsiaTheme="minorEastAsia" w:cs="Calibri"/>
                <w:b/>
                <w:bCs/>
                <w:lang w:eastAsia="en-AU"/>
              </w:rPr>
            </w:pPr>
            <w:r w:rsidRPr="00820AF8">
              <w:rPr>
                <w:rFonts w:eastAsiaTheme="minorEastAsia"/>
                <w:b/>
                <w:bCs/>
                <w:lang w:eastAsia="en-AU"/>
              </w:rPr>
              <w:t xml:space="preserve">Total advances paid and investments, </w:t>
            </w:r>
            <w:r w:rsidRPr="00820AF8">
              <w:rPr>
                <w:rFonts w:eastAsiaTheme="minorEastAsia" w:cs="Calibri"/>
                <w:b/>
                <w:bCs/>
                <w:lang w:eastAsia="en-AU"/>
              </w:rPr>
              <w:t>loans and placements</w:t>
            </w:r>
          </w:p>
        </w:tc>
        <w:tc>
          <w:tcPr>
            <w:tcW w:w="900" w:type="dxa"/>
            <w:tcBorders>
              <w:top w:val="single" w:sz="6" w:space="0" w:color="auto"/>
              <w:left w:val="nil"/>
              <w:bottom w:val="single" w:sz="12" w:space="0" w:color="000000"/>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8 052.0</w:t>
            </w:r>
          </w:p>
        </w:tc>
        <w:tc>
          <w:tcPr>
            <w:tcW w:w="901" w:type="dxa"/>
            <w:tcBorders>
              <w:top w:val="single" w:sz="6" w:space="0" w:color="auto"/>
              <w:left w:val="nil"/>
              <w:bottom w:val="single" w:sz="12" w:space="0" w:color="000000"/>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7 997.7</w:t>
            </w:r>
          </w:p>
        </w:tc>
        <w:tc>
          <w:tcPr>
            <w:tcW w:w="900" w:type="dxa"/>
            <w:tcBorders>
              <w:top w:val="single" w:sz="6" w:space="0" w:color="auto"/>
              <w:left w:val="nil"/>
              <w:bottom w:val="single" w:sz="12" w:space="0" w:color="000000"/>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8 033.7</w:t>
            </w:r>
          </w:p>
        </w:tc>
        <w:tc>
          <w:tcPr>
            <w:tcW w:w="901" w:type="dxa"/>
            <w:tcBorders>
              <w:top w:val="single" w:sz="6" w:space="0" w:color="auto"/>
              <w:left w:val="nil"/>
              <w:bottom w:val="single" w:sz="12" w:space="0" w:color="000000"/>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8 073.7</w:t>
            </w:r>
          </w:p>
        </w:tc>
        <w:tc>
          <w:tcPr>
            <w:tcW w:w="901" w:type="dxa"/>
            <w:tcBorders>
              <w:top w:val="single" w:sz="6" w:space="0" w:color="auto"/>
              <w:left w:val="nil"/>
              <w:bottom w:val="single" w:sz="12" w:space="0" w:color="000000"/>
              <w:right w:val="nil"/>
            </w:tcBorders>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8 135.6</w:t>
            </w:r>
          </w:p>
        </w:tc>
      </w:tr>
    </w:tbl>
    <w:p w:rsidR="00F60B5F" w:rsidRPr="00B56B1C" w:rsidRDefault="00F60B5F" w:rsidP="00172054"/>
    <w:p w:rsidR="00F60B5F" w:rsidRPr="00B56B1C" w:rsidRDefault="00F60B5F">
      <w:pPr>
        <w:spacing w:after="0"/>
        <w:rPr>
          <w:rFonts w:ascii="Calibri" w:hAnsi="Calibri"/>
          <w:b/>
          <w:kern w:val="28"/>
          <w:sz w:val="26"/>
          <w:szCs w:val="22"/>
        </w:rPr>
      </w:pPr>
      <w:r w:rsidRPr="00B56B1C">
        <w:br w:type="page"/>
      </w:r>
    </w:p>
    <w:p w:rsidR="00F60B5F" w:rsidRPr="00B56B1C" w:rsidRDefault="00F60B5F" w:rsidP="00C54DC6">
      <w:pPr>
        <w:pStyle w:val="Heading2Notes"/>
      </w:pPr>
      <w:bookmarkStart w:id="42" w:name="_Toc373751823"/>
      <w:r w:rsidRPr="00B56B1C">
        <w:t>Note 17:</w:t>
      </w:r>
      <w:r w:rsidRPr="00B56B1C">
        <w:tab/>
        <w:t>Land, buildings, infrastructure, plant and equipment</w:t>
      </w:r>
      <w:bookmarkEnd w:id="42"/>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954"/>
        <w:gridCol w:w="955"/>
        <w:gridCol w:w="954"/>
        <w:gridCol w:w="955"/>
        <w:gridCol w:w="955"/>
      </w:tblGrid>
      <w:tr w:rsidR="00F60B5F" w:rsidRPr="006C59E4" w:rsidTr="006C59E4">
        <w:tc>
          <w:tcPr>
            <w:tcW w:w="2987" w:type="dxa"/>
            <w:tcBorders>
              <w:top w:val="single" w:sz="6" w:space="0" w:color="000000"/>
              <w:left w:val="single" w:sz="6" w:space="0" w:color="000000"/>
              <w:bottom w:val="nil"/>
              <w:right w:val="nil"/>
            </w:tcBorders>
            <w:shd w:val="clear" w:color="000000" w:fill="000000"/>
          </w:tcPr>
          <w:p w:rsidR="00F60B5F" w:rsidRPr="006C59E4" w:rsidRDefault="00F60B5F" w:rsidP="00820AF8">
            <w:pPr>
              <w:pStyle w:val="Tabletextheading"/>
              <w:rPr>
                <w:rFonts w:eastAsiaTheme="minorEastAsia"/>
                <w:sz w:val="19"/>
                <w:szCs w:val="19"/>
                <w:lang w:eastAsia="en-AU"/>
              </w:rPr>
            </w:pPr>
          </w:p>
        </w:tc>
        <w:tc>
          <w:tcPr>
            <w:tcW w:w="954" w:type="dxa"/>
            <w:tcBorders>
              <w:top w:val="single" w:sz="6" w:space="0" w:color="000000"/>
              <w:left w:val="nil"/>
              <w:bottom w:val="nil"/>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2013</w:t>
            </w:r>
            <w:r>
              <w:rPr>
                <w:rFonts w:eastAsiaTheme="minorEastAsia"/>
                <w:iCs/>
                <w:sz w:val="19"/>
                <w:szCs w:val="19"/>
                <w:lang w:eastAsia="en-AU"/>
              </w:rPr>
              <w:noBreakHyphen/>
            </w:r>
            <w:r w:rsidRPr="006C59E4">
              <w:rPr>
                <w:rFonts w:eastAsiaTheme="minorEastAsia"/>
                <w:iCs/>
                <w:sz w:val="19"/>
                <w:szCs w:val="19"/>
                <w:lang w:eastAsia="en-AU"/>
              </w:rPr>
              <w:t>14</w:t>
            </w:r>
          </w:p>
        </w:tc>
        <w:tc>
          <w:tcPr>
            <w:tcW w:w="955" w:type="dxa"/>
            <w:tcBorders>
              <w:top w:val="single" w:sz="6" w:space="0" w:color="000000"/>
              <w:left w:val="nil"/>
              <w:bottom w:val="nil"/>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2013</w:t>
            </w:r>
            <w:r>
              <w:rPr>
                <w:rFonts w:eastAsiaTheme="minorEastAsia"/>
                <w:iCs/>
                <w:sz w:val="19"/>
                <w:szCs w:val="19"/>
                <w:lang w:eastAsia="en-AU"/>
              </w:rPr>
              <w:noBreakHyphen/>
            </w:r>
            <w:r w:rsidRPr="006C59E4">
              <w:rPr>
                <w:rFonts w:eastAsiaTheme="minorEastAsia"/>
                <w:iCs/>
                <w:sz w:val="19"/>
                <w:szCs w:val="19"/>
                <w:lang w:eastAsia="en-AU"/>
              </w:rPr>
              <w:t>14</w:t>
            </w:r>
          </w:p>
        </w:tc>
        <w:tc>
          <w:tcPr>
            <w:tcW w:w="954" w:type="dxa"/>
            <w:tcBorders>
              <w:top w:val="single" w:sz="6" w:space="0" w:color="000000"/>
              <w:left w:val="nil"/>
              <w:bottom w:val="nil"/>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2014</w:t>
            </w:r>
            <w:r>
              <w:rPr>
                <w:rFonts w:eastAsiaTheme="minorEastAsia"/>
                <w:iCs/>
                <w:sz w:val="19"/>
                <w:szCs w:val="19"/>
                <w:lang w:eastAsia="en-AU"/>
              </w:rPr>
              <w:noBreakHyphen/>
            </w:r>
            <w:r w:rsidRPr="006C59E4">
              <w:rPr>
                <w:rFonts w:eastAsiaTheme="minorEastAsia"/>
                <w:iCs/>
                <w:sz w:val="19"/>
                <w:szCs w:val="19"/>
                <w:lang w:eastAsia="en-AU"/>
              </w:rPr>
              <w:t>15</w:t>
            </w:r>
          </w:p>
        </w:tc>
        <w:tc>
          <w:tcPr>
            <w:tcW w:w="955" w:type="dxa"/>
            <w:tcBorders>
              <w:top w:val="single" w:sz="6" w:space="0" w:color="000000"/>
              <w:left w:val="nil"/>
              <w:bottom w:val="nil"/>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2015</w:t>
            </w:r>
            <w:r>
              <w:rPr>
                <w:rFonts w:eastAsiaTheme="minorEastAsia"/>
                <w:iCs/>
                <w:sz w:val="19"/>
                <w:szCs w:val="19"/>
                <w:lang w:eastAsia="en-AU"/>
              </w:rPr>
              <w:noBreakHyphen/>
            </w:r>
            <w:r w:rsidRPr="006C59E4">
              <w:rPr>
                <w:rFonts w:eastAsiaTheme="minorEastAsia"/>
                <w:iCs/>
                <w:sz w:val="19"/>
                <w:szCs w:val="19"/>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2016</w:t>
            </w:r>
            <w:r>
              <w:rPr>
                <w:rFonts w:eastAsiaTheme="minorEastAsia"/>
                <w:iCs/>
                <w:sz w:val="19"/>
                <w:szCs w:val="19"/>
                <w:lang w:eastAsia="en-AU"/>
              </w:rPr>
              <w:noBreakHyphen/>
            </w:r>
            <w:r w:rsidRPr="006C59E4">
              <w:rPr>
                <w:rFonts w:eastAsiaTheme="minorEastAsia"/>
                <w:iCs/>
                <w:sz w:val="19"/>
                <w:szCs w:val="19"/>
                <w:lang w:eastAsia="en-AU"/>
              </w:rPr>
              <w:t>17</w:t>
            </w:r>
          </w:p>
        </w:tc>
      </w:tr>
      <w:tr w:rsidR="00F60B5F" w:rsidRPr="006C59E4" w:rsidTr="006C59E4">
        <w:tc>
          <w:tcPr>
            <w:tcW w:w="2987" w:type="dxa"/>
            <w:tcBorders>
              <w:top w:val="nil"/>
              <w:left w:val="single" w:sz="6" w:space="0" w:color="000000"/>
              <w:bottom w:val="single" w:sz="6" w:space="0" w:color="000000"/>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p>
        </w:tc>
        <w:tc>
          <w:tcPr>
            <w:tcW w:w="954" w:type="dxa"/>
            <w:tcBorders>
              <w:top w:val="nil"/>
              <w:left w:val="nil"/>
              <w:bottom w:val="single" w:sz="6" w:space="0" w:color="000000"/>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Budget</w:t>
            </w:r>
          </w:p>
        </w:tc>
        <w:tc>
          <w:tcPr>
            <w:tcW w:w="955" w:type="dxa"/>
            <w:tcBorders>
              <w:top w:val="nil"/>
              <w:left w:val="nil"/>
              <w:bottom w:val="single" w:sz="6" w:space="0" w:color="000000"/>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Revised</w:t>
            </w:r>
          </w:p>
        </w:tc>
        <w:tc>
          <w:tcPr>
            <w:tcW w:w="954" w:type="dxa"/>
            <w:tcBorders>
              <w:top w:val="nil"/>
              <w:left w:val="nil"/>
              <w:bottom w:val="single" w:sz="6" w:space="0" w:color="000000"/>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Estimate</w:t>
            </w:r>
          </w:p>
        </w:tc>
        <w:tc>
          <w:tcPr>
            <w:tcW w:w="955" w:type="dxa"/>
            <w:tcBorders>
              <w:top w:val="nil"/>
              <w:left w:val="nil"/>
              <w:bottom w:val="single" w:sz="6" w:space="0" w:color="000000"/>
              <w:right w:val="nil"/>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6C59E4" w:rsidRDefault="00F60B5F" w:rsidP="00820AF8">
            <w:pPr>
              <w:pStyle w:val="Tabletextheading"/>
              <w:rPr>
                <w:rFonts w:eastAsiaTheme="minorEastAsia"/>
                <w:iCs/>
                <w:sz w:val="19"/>
                <w:szCs w:val="19"/>
                <w:lang w:eastAsia="en-AU"/>
              </w:rPr>
            </w:pPr>
            <w:r w:rsidRPr="006C59E4">
              <w:rPr>
                <w:rFonts w:eastAsiaTheme="minorEastAsia"/>
                <w:iCs/>
                <w:sz w:val="19"/>
                <w:szCs w:val="19"/>
                <w:lang w:eastAsia="en-AU"/>
              </w:rPr>
              <w:t>Estimate</w:t>
            </w:r>
          </w:p>
        </w:tc>
      </w:tr>
      <w:tr w:rsidR="00F60B5F" w:rsidRPr="006C59E4" w:rsidTr="006C59E4">
        <w:tc>
          <w:tcPr>
            <w:tcW w:w="2987" w:type="dxa"/>
            <w:tcBorders>
              <w:top w:val="single" w:sz="6" w:space="0" w:color="000000"/>
              <w:left w:val="nil"/>
              <w:bottom w:val="nil"/>
              <w:right w:val="nil"/>
            </w:tcBorders>
          </w:tcPr>
          <w:p w:rsidR="00F60B5F" w:rsidRPr="006C59E4" w:rsidRDefault="00F60B5F" w:rsidP="00820AF8">
            <w:pPr>
              <w:pStyle w:val="Tabletext"/>
              <w:rPr>
                <w:rFonts w:eastAsiaTheme="minorEastAsia"/>
                <w:sz w:val="19"/>
                <w:szCs w:val="19"/>
                <w:lang w:eastAsia="en-AU"/>
              </w:rPr>
            </w:pPr>
            <w:r w:rsidRPr="006C59E4">
              <w:rPr>
                <w:rFonts w:eastAsiaTheme="minorEastAsia"/>
                <w:sz w:val="19"/>
                <w:szCs w:val="19"/>
                <w:lang w:eastAsia="en-AU"/>
              </w:rPr>
              <w:t>Buildings (written down value)</w:t>
            </w:r>
          </w:p>
        </w:tc>
        <w:tc>
          <w:tcPr>
            <w:tcW w:w="954"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23 210.3</w:t>
            </w:r>
          </w:p>
        </w:tc>
        <w:tc>
          <w:tcPr>
            <w:tcW w:w="955"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22 555.6</w:t>
            </w:r>
          </w:p>
        </w:tc>
        <w:tc>
          <w:tcPr>
            <w:tcW w:w="954"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22 581.3</w:t>
            </w:r>
          </w:p>
        </w:tc>
        <w:tc>
          <w:tcPr>
            <w:tcW w:w="955"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23 660.6</w:t>
            </w:r>
          </w:p>
        </w:tc>
        <w:tc>
          <w:tcPr>
            <w:tcW w:w="955" w:type="dxa"/>
            <w:tcBorders>
              <w:top w:val="single" w:sz="6" w:space="0" w:color="000000"/>
              <w:left w:val="nil"/>
              <w:bottom w:val="nil"/>
              <w:right w:val="nil"/>
            </w:tcBorders>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26 038.6</w:t>
            </w:r>
          </w:p>
        </w:tc>
      </w:tr>
      <w:tr w:rsidR="00F60B5F" w:rsidRPr="006C59E4" w:rsidTr="006C59E4">
        <w:tc>
          <w:tcPr>
            <w:tcW w:w="2987" w:type="dxa"/>
            <w:tcBorders>
              <w:top w:val="nil"/>
              <w:left w:val="nil"/>
              <w:bottom w:val="nil"/>
              <w:right w:val="nil"/>
            </w:tcBorders>
          </w:tcPr>
          <w:p w:rsidR="00F60B5F" w:rsidRPr="006C59E4" w:rsidRDefault="00F60B5F" w:rsidP="00820AF8">
            <w:pPr>
              <w:pStyle w:val="Tabletext"/>
              <w:rPr>
                <w:rFonts w:eastAsiaTheme="minorEastAsia" w:cs="Calibri"/>
                <w:sz w:val="19"/>
                <w:szCs w:val="19"/>
                <w:lang w:eastAsia="en-AU"/>
              </w:rPr>
            </w:pPr>
            <w:r w:rsidRPr="006C59E4">
              <w:rPr>
                <w:rFonts w:eastAsiaTheme="minorEastAsia"/>
                <w:sz w:val="19"/>
                <w:szCs w:val="19"/>
                <w:lang w:eastAsia="en-AU"/>
              </w:rPr>
              <w:t xml:space="preserve">Buildings leasehold </w:t>
            </w:r>
            <w:r w:rsidRPr="006C59E4">
              <w:rPr>
                <w:rFonts w:eastAsiaTheme="minorEastAsia" w:cs="Calibri"/>
                <w:sz w:val="19"/>
                <w:szCs w:val="19"/>
                <w:lang w:eastAsia="en-AU"/>
              </w:rPr>
              <w:t>(written down value)</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2 341.4</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2 345.8</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2 291.6</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3 271.0</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3 994.1</w:t>
            </w:r>
          </w:p>
        </w:tc>
      </w:tr>
      <w:tr w:rsidR="00F60B5F" w:rsidRPr="006C59E4" w:rsidTr="006C59E4">
        <w:tc>
          <w:tcPr>
            <w:tcW w:w="2987" w:type="dxa"/>
            <w:tcBorders>
              <w:top w:val="nil"/>
              <w:left w:val="nil"/>
              <w:bottom w:val="nil"/>
              <w:right w:val="nil"/>
            </w:tcBorders>
          </w:tcPr>
          <w:p w:rsidR="00F60B5F" w:rsidRPr="006C59E4" w:rsidRDefault="00F60B5F" w:rsidP="00820AF8">
            <w:pPr>
              <w:pStyle w:val="Tabletext"/>
              <w:rPr>
                <w:rFonts w:eastAsiaTheme="minorEastAsia"/>
                <w:sz w:val="19"/>
                <w:szCs w:val="19"/>
                <w:lang w:eastAsia="en-AU"/>
              </w:rPr>
            </w:pPr>
            <w:r w:rsidRPr="006C59E4">
              <w:rPr>
                <w:rFonts w:eastAsiaTheme="minorEastAsia"/>
                <w:sz w:val="19"/>
                <w:szCs w:val="19"/>
                <w:lang w:eastAsia="en-AU"/>
              </w:rPr>
              <w:t>Land and national parks</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37 746.4</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37 721.2</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38 404.2</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38 526.7</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39 106.1</w:t>
            </w:r>
          </w:p>
        </w:tc>
      </w:tr>
      <w:tr w:rsidR="00F60B5F" w:rsidRPr="006C59E4" w:rsidTr="006C59E4">
        <w:tc>
          <w:tcPr>
            <w:tcW w:w="2987" w:type="dxa"/>
            <w:tcBorders>
              <w:top w:val="nil"/>
              <w:left w:val="nil"/>
              <w:bottom w:val="nil"/>
              <w:right w:val="nil"/>
            </w:tcBorders>
          </w:tcPr>
          <w:p w:rsidR="00F60B5F" w:rsidRPr="006C59E4" w:rsidRDefault="00F60B5F" w:rsidP="00820AF8">
            <w:pPr>
              <w:pStyle w:val="Tabletext"/>
              <w:rPr>
                <w:rFonts w:eastAsiaTheme="minorEastAsia"/>
                <w:sz w:val="19"/>
                <w:szCs w:val="19"/>
                <w:lang w:eastAsia="en-AU"/>
              </w:rPr>
            </w:pPr>
            <w:r w:rsidRPr="006C59E4">
              <w:rPr>
                <w:rFonts w:eastAsiaTheme="minorEastAsia"/>
                <w:sz w:val="19"/>
                <w:szCs w:val="19"/>
                <w:lang w:eastAsia="en-AU"/>
              </w:rPr>
              <w:t>Infrastructure systems (written down value)</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2 335.0</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2 384.7</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2 408.6</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2 432.3</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2 462.6</w:t>
            </w:r>
          </w:p>
        </w:tc>
      </w:tr>
      <w:tr w:rsidR="00F60B5F" w:rsidRPr="006C59E4" w:rsidTr="006C59E4">
        <w:tc>
          <w:tcPr>
            <w:tcW w:w="2987" w:type="dxa"/>
            <w:tcBorders>
              <w:top w:val="nil"/>
              <w:left w:val="nil"/>
              <w:bottom w:val="nil"/>
              <w:right w:val="nil"/>
            </w:tcBorders>
          </w:tcPr>
          <w:p w:rsidR="00F60B5F" w:rsidRPr="006C59E4" w:rsidRDefault="00F60B5F" w:rsidP="00820AF8">
            <w:pPr>
              <w:pStyle w:val="Tabletext"/>
              <w:rPr>
                <w:rFonts w:eastAsiaTheme="minorEastAsia"/>
                <w:sz w:val="19"/>
                <w:szCs w:val="19"/>
                <w:lang w:eastAsia="en-AU"/>
              </w:rPr>
            </w:pPr>
            <w:r w:rsidRPr="006C59E4">
              <w:rPr>
                <w:rFonts w:eastAsiaTheme="minorEastAsia"/>
                <w:sz w:val="19"/>
                <w:szCs w:val="19"/>
                <w:lang w:eastAsia="en-AU"/>
              </w:rPr>
              <w:t>Plant, equipment and vehicles (written down value)</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2 802.4</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2 891.6</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2 069.2</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1 650.9</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1 232.4</w:t>
            </w:r>
          </w:p>
        </w:tc>
      </w:tr>
      <w:tr w:rsidR="00F60B5F" w:rsidRPr="006C59E4" w:rsidTr="006C59E4">
        <w:tc>
          <w:tcPr>
            <w:tcW w:w="2987" w:type="dxa"/>
            <w:tcBorders>
              <w:top w:val="nil"/>
              <w:left w:val="nil"/>
              <w:bottom w:val="nil"/>
              <w:right w:val="nil"/>
            </w:tcBorders>
          </w:tcPr>
          <w:p w:rsidR="00F60B5F" w:rsidRPr="006C59E4" w:rsidRDefault="00F60B5F" w:rsidP="00820AF8">
            <w:pPr>
              <w:pStyle w:val="Tabletext"/>
              <w:rPr>
                <w:rFonts w:eastAsiaTheme="minorEastAsia"/>
                <w:sz w:val="19"/>
                <w:szCs w:val="19"/>
                <w:lang w:eastAsia="en-AU"/>
              </w:rPr>
            </w:pPr>
            <w:r w:rsidRPr="006C59E4">
              <w:rPr>
                <w:rFonts w:eastAsiaTheme="minorEastAsia"/>
                <w:sz w:val="19"/>
                <w:szCs w:val="19"/>
                <w:lang w:eastAsia="en-AU"/>
              </w:rPr>
              <w:t>Roads and road networks (written down value)</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23 680.0</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21 355.2</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23 876.0</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23 537.9</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23 187.6</w:t>
            </w:r>
          </w:p>
        </w:tc>
      </w:tr>
      <w:tr w:rsidR="00F60B5F" w:rsidRPr="006C59E4" w:rsidTr="006C59E4">
        <w:tc>
          <w:tcPr>
            <w:tcW w:w="2987" w:type="dxa"/>
            <w:tcBorders>
              <w:top w:val="nil"/>
              <w:left w:val="nil"/>
              <w:bottom w:val="nil"/>
              <w:right w:val="nil"/>
            </w:tcBorders>
          </w:tcPr>
          <w:p w:rsidR="00F60B5F" w:rsidRPr="006C59E4" w:rsidRDefault="00F60B5F" w:rsidP="00820AF8">
            <w:pPr>
              <w:pStyle w:val="Tabletext"/>
              <w:rPr>
                <w:rFonts w:eastAsiaTheme="minorEastAsia"/>
                <w:sz w:val="19"/>
                <w:szCs w:val="19"/>
                <w:lang w:eastAsia="en-AU"/>
              </w:rPr>
            </w:pPr>
            <w:r w:rsidRPr="006C59E4">
              <w:rPr>
                <w:rFonts w:eastAsiaTheme="minorEastAsia"/>
                <w:sz w:val="19"/>
                <w:szCs w:val="19"/>
                <w:lang w:eastAsia="en-AU"/>
              </w:rPr>
              <w:t>Earthworks</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8 496.2</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7 779.4</w:t>
            </w:r>
          </w:p>
        </w:tc>
        <w:tc>
          <w:tcPr>
            <w:tcW w:w="954"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8 921.1</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9 086.6</w:t>
            </w:r>
          </w:p>
        </w:tc>
        <w:tc>
          <w:tcPr>
            <w:tcW w:w="955" w:type="dxa"/>
            <w:tcBorders>
              <w:top w:val="nil"/>
              <w:left w:val="nil"/>
              <w:bottom w:val="nil"/>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9 183.8</w:t>
            </w:r>
          </w:p>
        </w:tc>
      </w:tr>
      <w:tr w:rsidR="00F60B5F" w:rsidRPr="006C59E4" w:rsidTr="006C59E4">
        <w:tc>
          <w:tcPr>
            <w:tcW w:w="2987" w:type="dxa"/>
            <w:tcBorders>
              <w:top w:val="nil"/>
              <w:left w:val="nil"/>
              <w:bottom w:val="single" w:sz="6" w:space="0" w:color="auto"/>
              <w:right w:val="nil"/>
            </w:tcBorders>
          </w:tcPr>
          <w:p w:rsidR="00F60B5F" w:rsidRPr="006C59E4" w:rsidRDefault="00F60B5F" w:rsidP="00820AF8">
            <w:pPr>
              <w:pStyle w:val="Tabletext"/>
              <w:rPr>
                <w:rFonts w:eastAsiaTheme="minorEastAsia"/>
                <w:sz w:val="19"/>
                <w:szCs w:val="19"/>
                <w:lang w:eastAsia="en-AU"/>
              </w:rPr>
            </w:pPr>
            <w:r w:rsidRPr="006C59E4">
              <w:rPr>
                <w:rFonts w:eastAsiaTheme="minorEastAsia"/>
                <w:sz w:val="19"/>
                <w:szCs w:val="19"/>
                <w:lang w:eastAsia="en-AU"/>
              </w:rPr>
              <w:t>Cultural assets (written down value)</w:t>
            </w:r>
          </w:p>
        </w:tc>
        <w:tc>
          <w:tcPr>
            <w:tcW w:w="954" w:type="dxa"/>
            <w:tcBorders>
              <w:top w:val="nil"/>
              <w:left w:val="nil"/>
              <w:bottom w:val="single" w:sz="6" w:space="0" w:color="auto"/>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5 461.0</w:t>
            </w:r>
          </w:p>
        </w:tc>
        <w:tc>
          <w:tcPr>
            <w:tcW w:w="955" w:type="dxa"/>
            <w:tcBorders>
              <w:top w:val="nil"/>
              <w:left w:val="nil"/>
              <w:bottom w:val="single" w:sz="6" w:space="0" w:color="auto"/>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5 450.9</w:t>
            </w:r>
          </w:p>
        </w:tc>
        <w:tc>
          <w:tcPr>
            <w:tcW w:w="954" w:type="dxa"/>
            <w:tcBorders>
              <w:top w:val="nil"/>
              <w:left w:val="nil"/>
              <w:bottom w:val="single" w:sz="6" w:space="0" w:color="auto"/>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5 456.0</w:t>
            </w:r>
          </w:p>
        </w:tc>
        <w:tc>
          <w:tcPr>
            <w:tcW w:w="955" w:type="dxa"/>
            <w:tcBorders>
              <w:top w:val="nil"/>
              <w:left w:val="nil"/>
              <w:bottom w:val="single" w:sz="6" w:space="0" w:color="auto"/>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5 473.2</w:t>
            </w:r>
          </w:p>
        </w:tc>
        <w:tc>
          <w:tcPr>
            <w:tcW w:w="955" w:type="dxa"/>
            <w:tcBorders>
              <w:top w:val="nil"/>
              <w:left w:val="nil"/>
              <w:bottom w:val="single" w:sz="6" w:space="0" w:color="auto"/>
              <w:right w:val="nil"/>
            </w:tcBorders>
            <w:shd w:val="solid" w:color="FFFFFF" w:fill="auto"/>
          </w:tcPr>
          <w:p w:rsidR="00F60B5F" w:rsidRPr="006C59E4" w:rsidRDefault="00F60B5F" w:rsidP="00820AF8">
            <w:pPr>
              <w:pStyle w:val="TableofFigures"/>
              <w:rPr>
                <w:rFonts w:eastAsiaTheme="minorEastAsia"/>
                <w:sz w:val="19"/>
                <w:szCs w:val="19"/>
                <w:lang w:eastAsia="en-AU"/>
              </w:rPr>
            </w:pPr>
            <w:r w:rsidRPr="006C59E4">
              <w:rPr>
                <w:rFonts w:eastAsiaTheme="minorEastAsia"/>
                <w:sz w:val="19"/>
                <w:szCs w:val="19"/>
                <w:lang w:eastAsia="en-AU"/>
              </w:rPr>
              <w:t>5 466.9</w:t>
            </w:r>
          </w:p>
        </w:tc>
      </w:tr>
      <w:tr w:rsidR="00F60B5F" w:rsidRPr="006C59E4" w:rsidTr="006C59E4">
        <w:tc>
          <w:tcPr>
            <w:tcW w:w="2987"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text"/>
              <w:rPr>
                <w:rFonts w:eastAsiaTheme="minorEastAsia"/>
                <w:b/>
                <w:bCs/>
                <w:sz w:val="19"/>
                <w:szCs w:val="19"/>
                <w:lang w:eastAsia="en-AU"/>
              </w:rPr>
            </w:pPr>
            <w:r w:rsidRPr="006C59E4">
              <w:rPr>
                <w:rFonts w:eastAsiaTheme="minorEastAsia"/>
                <w:b/>
                <w:bCs/>
                <w:sz w:val="19"/>
                <w:szCs w:val="19"/>
                <w:lang w:eastAsia="en-AU"/>
              </w:rPr>
              <w:t>Total land, buildings, infrastructure, plant and equipment</w:t>
            </w:r>
          </w:p>
        </w:tc>
        <w:tc>
          <w:tcPr>
            <w:tcW w:w="954"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19"/>
                <w:lang w:eastAsia="en-AU"/>
              </w:rPr>
            </w:pPr>
            <w:r w:rsidRPr="006C59E4">
              <w:rPr>
                <w:rFonts w:eastAsiaTheme="minorEastAsia"/>
                <w:b/>
                <w:bCs/>
                <w:sz w:val="19"/>
                <w:szCs w:val="19"/>
                <w:lang w:eastAsia="en-AU"/>
              </w:rPr>
              <w:t>106 072.7</w:t>
            </w:r>
          </w:p>
        </w:tc>
        <w:tc>
          <w:tcPr>
            <w:tcW w:w="955"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19"/>
                <w:lang w:eastAsia="en-AU"/>
              </w:rPr>
            </w:pPr>
            <w:r w:rsidRPr="006C59E4">
              <w:rPr>
                <w:rFonts w:eastAsiaTheme="minorEastAsia"/>
                <w:b/>
                <w:bCs/>
                <w:sz w:val="19"/>
                <w:szCs w:val="19"/>
                <w:lang w:eastAsia="en-AU"/>
              </w:rPr>
              <w:t>102 484.4</w:t>
            </w:r>
          </w:p>
        </w:tc>
        <w:tc>
          <w:tcPr>
            <w:tcW w:w="954"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19"/>
                <w:lang w:eastAsia="en-AU"/>
              </w:rPr>
            </w:pPr>
            <w:r w:rsidRPr="006C59E4">
              <w:rPr>
                <w:rFonts w:eastAsiaTheme="minorEastAsia"/>
                <w:b/>
                <w:bCs/>
                <w:sz w:val="19"/>
                <w:szCs w:val="19"/>
                <w:lang w:eastAsia="en-AU"/>
              </w:rPr>
              <w:t>106 007.9</w:t>
            </w:r>
          </w:p>
        </w:tc>
        <w:tc>
          <w:tcPr>
            <w:tcW w:w="955"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19"/>
                <w:lang w:eastAsia="en-AU"/>
              </w:rPr>
            </w:pPr>
            <w:r w:rsidRPr="006C59E4">
              <w:rPr>
                <w:rFonts w:eastAsiaTheme="minorEastAsia"/>
                <w:b/>
                <w:bCs/>
                <w:sz w:val="19"/>
                <w:szCs w:val="19"/>
                <w:lang w:eastAsia="en-AU"/>
              </w:rPr>
              <w:t>107 639.3</w:t>
            </w:r>
          </w:p>
        </w:tc>
        <w:tc>
          <w:tcPr>
            <w:tcW w:w="955" w:type="dxa"/>
            <w:tcBorders>
              <w:top w:val="single" w:sz="6" w:space="0" w:color="auto"/>
              <w:left w:val="nil"/>
              <w:bottom w:val="single" w:sz="12" w:space="0" w:color="000000"/>
              <w:right w:val="nil"/>
            </w:tcBorders>
            <w:shd w:val="clear" w:color="auto" w:fill="auto"/>
          </w:tcPr>
          <w:p w:rsidR="00F60B5F" w:rsidRPr="006C59E4" w:rsidRDefault="00F60B5F" w:rsidP="00820AF8">
            <w:pPr>
              <w:pStyle w:val="TableofFigures"/>
              <w:rPr>
                <w:rFonts w:eastAsiaTheme="minorEastAsia"/>
                <w:b/>
                <w:bCs/>
                <w:sz w:val="19"/>
                <w:szCs w:val="19"/>
                <w:lang w:eastAsia="en-AU"/>
              </w:rPr>
            </w:pPr>
            <w:r w:rsidRPr="006C59E4">
              <w:rPr>
                <w:rFonts w:eastAsiaTheme="minorEastAsia"/>
                <w:b/>
                <w:bCs/>
                <w:sz w:val="19"/>
                <w:szCs w:val="19"/>
                <w:lang w:eastAsia="en-AU"/>
              </w:rPr>
              <w:t>110 672.0</w:t>
            </w:r>
          </w:p>
        </w:tc>
      </w:tr>
    </w:tbl>
    <w:p w:rsidR="00F60B5F" w:rsidRDefault="00F60B5F" w:rsidP="00172054"/>
    <w:p w:rsidR="00F60B5F" w:rsidRPr="00B56B1C" w:rsidRDefault="00F60B5F" w:rsidP="00172054"/>
    <w:p w:rsidR="00F60B5F" w:rsidRPr="00B56B1C" w:rsidRDefault="00F60B5F" w:rsidP="00C54DC6">
      <w:pPr>
        <w:pStyle w:val="Heading2Notes"/>
      </w:pPr>
      <w:bookmarkStart w:id="43" w:name="_Toc373751824"/>
      <w:r w:rsidRPr="00B56B1C">
        <w:t>Note 18:</w:t>
      </w:r>
      <w:r w:rsidRPr="00B56B1C">
        <w:tab/>
        <w:t>Reconciliation of movements in land, buildings, infrastructure, plant and equipment</w:t>
      </w:r>
      <w:bookmarkEnd w:id="43"/>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954"/>
        <w:gridCol w:w="955"/>
        <w:gridCol w:w="954"/>
        <w:gridCol w:w="955"/>
        <w:gridCol w:w="955"/>
      </w:tblGrid>
      <w:tr w:rsidR="00F60B5F" w:rsidRPr="00820AF8" w:rsidTr="00820AF8">
        <w:tc>
          <w:tcPr>
            <w:tcW w:w="2987"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lang w:eastAsia="en-AU"/>
              </w:rPr>
            </w:pPr>
          </w:p>
        </w:tc>
        <w:tc>
          <w:tcPr>
            <w:tcW w:w="95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2013</w:t>
            </w:r>
            <w:r>
              <w:rPr>
                <w:rFonts w:eastAsiaTheme="minorEastAsia"/>
                <w:iCs/>
                <w:szCs w:val="22"/>
                <w:lang w:eastAsia="en-AU"/>
              </w:rPr>
              <w:noBreakHyphen/>
            </w:r>
            <w:r w:rsidRPr="00820AF8">
              <w:rPr>
                <w:rFonts w:eastAsiaTheme="minorEastAsia"/>
                <w:iCs/>
                <w:szCs w:val="22"/>
                <w:lang w:eastAsia="en-AU"/>
              </w:rPr>
              <w:t>14</w:t>
            </w:r>
          </w:p>
        </w:tc>
        <w:tc>
          <w:tcPr>
            <w:tcW w:w="955"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2013</w:t>
            </w:r>
            <w:r>
              <w:rPr>
                <w:rFonts w:eastAsiaTheme="minorEastAsia"/>
                <w:iCs/>
                <w:szCs w:val="22"/>
                <w:lang w:eastAsia="en-AU"/>
              </w:rPr>
              <w:noBreakHyphen/>
            </w:r>
            <w:r w:rsidRPr="00820AF8">
              <w:rPr>
                <w:rFonts w:eastAsiaTheme="minorEastAsia"/>
                <w:iCs/>
                <w:szCs w:val="22"/>
                <w:lang w:eastAsia="en-AU"/>
              </w:rPr>
              <w:t>14</w:t>
            </w:r>
          </w:p>
        </w:tc>
        <w:tc>
          <w:tcPr>
            <w:tcW w:w="95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2014</w:t>
            </w:r>
            <w:r>
              <w:rPr>
                <w:rFonts w:eastAsiaTheme="minorEastAsia"/>
                <w:iCs/>
                <w:szCs w:val="22"/>
                <w:lang w:eastAsia="en-AU"/>
              </w:rPr>
              <w:noBreakHyphen/>
            </w:r>
            <w:r w:rsidRPr="00820AF8">
              <w:rPr>
                <w:rFonts w:eastAsiaTheme="minorEastAsia"/>
                <w:iCs/>
                <w:szCs w:val="22"/>
                <w:lang w:eastAsia="en-AU"/>
              </w:rPr>
              <w:t>15</w:t>
            </w:r>
          </w:p>
        </w:tc>
        <w:tc>
          <w:tcPr>
            <w:tcW w:w="955"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2015</w:t>
            </w:r>
            <w:r>
              <w:rPr>
                <w:rFonts w:eastAsiaTheme="minorEastAsia"/>
                <w:iCs/>
                <w:szCs w:val="22"/>
                <w:lang w:eastAsia="en-AU"/>
              </w:rPr>
              <w:noBreakHyphen/>
            </w:r>
            <w:r w:rsidRPr="00820AF8">
              <w:rPr>
                <w:rFonts w:eastAsiaTheme="minorEastAsia"/>
                <w:iCs/>
                <w:szCs w:val="22"/>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2016</w:t>
            </w:r>
            <w:r>
              <w:rPr>
                <w:rFonts w:eastAsiaTheme="minorEastAsia"/>
                <w:iCs/>
                <w:szCs w:val="22"/>
                <w:lang w:eastAsia="en-AU"/>
              </w:rPr>
              <w:noBreakHyphen/>
            </w:r>
            <w:r w:rsidRPr="00820AF8">
              <w:rPr>
                <w:rFonts w:eastAsiaTheme="minorEastAsia"/>
                <w:iCs/>
                <w:szCs w:val="22"/>
                <w:lang w:eastAsia="en-AU"/>
              </w:rPr>
              <w:t>17</w:t>
            </w:r>
          </w:p>
        </w:tc>
      </w:tr>
      <w:tr w:rsidR="00F60B5F" w:rsidRPr="00820AF8" w:rsidTr="00820AF8">
        <w:tc>
          <w:tcPr>
            <w:tcW w:w="2987"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p>
        </w:tc>
        <w:tc>
          <w:tcPr>
            <w:tcW w:w="95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Budget</w:t>
            </w:r>
          </w:p>
        </w:tc>
        <w:tc>
          <w:tcPr>
            <w:tcW w:w="955"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Revised</w:t>
            </w:r>
          </w:p>
        </w:tc>
        <w:tc>
          <w:tcPr>
            <w:tcW w:w="95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Estimate</w:t>
            </w:r>
          </w:p>
        </w:tc>
        <w:tc>
          <w:tcPr>
            <w:tcW w:w="955"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szCs w:val="22"/>
                <w:lang w:eastAsia="en-AU"/>
              </w:rPr>
            </w:pPr>
            <w:r w:rsidRPr="00820AF8">
              <w:rPr>
                <w:rFonts w:eastAsiaTheme="minorEastAsia"/>
                <w:iCs/>
                <w:szCs w:val="22"/>
                <w:lang w:eastAsia="en-AU"/>
              </w:rPr>
              <w:t>Estimate</w:t>
            </w:r>
          </w:p>
        </w:tc>
      </w:tr>
      <w:tr w:rsidR="00F60B5F" w:rsidRPr="00820AF8" w:rsidTr="00820AF8">
        <w:tc>
          <w:tcPr>
            <w:tcW w:w="2987" w:type="dxa"/>
            <w:tcBorders>
              <w:top w:val="single" w:sz="6" w:space="0" w:color="000000"/>
              <w:left w:val="nil"/>
              <w:bottom w:val="nil"/>
              <w:right w:val="nil"/>
            </w:tcBorders>
          </w:tcPr>
          <w:p w:rsidR="00F60B5F" w:rsidRPr="00820AF8" w:rsidRDefault="00F60B5F" w:rsidP="00820AF8">
            <w:pPr>
              <w:pStyle w:val="Tabletext"/>
              <w:rPr>
                <w:rFonts w:eastAsiaTheme="minorEastAsia"/>
                <w:vertAlign w:val="superscript"/>
                <w:lang w:eastAsia="en-AU"/>
              </w:rPr>
            </w:pPr>
            <w:r w:rsidRPr="00820AF8">
              <w:rPr>
                <w:rFonts w:eastAsiaTheme="minorEastAsia"/>
                <w:lang w:eastAsia="en-AU"/>
              </w:rPr>
              <w:t xml:space="preserve">Carrying amount at the start of the year </w:t>
            </w:r>
            <w:r w:rsidRPr="00820AF8">
              <w:rPr>
                <w:rFonts w:eastAsiaTheme="minorEastAsia"/>
                <w:vertAlign w:val="superscript"/>
                <w:lang w:eastAsia="en-AU"/>
              </w:rPr>
              <w:t>(a)</w:t>
            </w:r>
          </w:p>
        </w:tc>
        <w:tc>
          <w:tcPr>
            <w:tcW w:w="954"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100 804.1</w:t>
            </w:r>
          </w:p>
        </w:tc>
        <w:tc>
          <w:tcPr>
            <w:tcW w:w="955"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100 804.1</w:t>
            </w:r>
          </w:p>
        </w:tc>
        <w:tc>
          <w:tcPr>
            <w:tcW w:w="954"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102 484.4</w:t>
            </w:r>
          </w:p>
        </w:tc>
        <w:tc>
          <w:tcPr>
            <w:tcW w:w="955"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106 007.9</w:t>
            </w:r>
          </w:p>
        </w:tc>
        <w:tc>
          <w:tcPr>
            <w:tcW w:w="955" w:type="dxa"/>
            <w:tcBorders>
              <w:top w:val="single" w:sz="6" w:space="0" w:color="000000"/>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107 639.3</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cs="Calibri"/>
                <w:vertAlign w:val="superscript"/>
                <w:lang w:eastAsia="en-AU"/>
              </w:rPr>
            </w:pPr>
            <w:r w:rsidRPr="00820AF8">
              <w:rPr>
                <w:rFonts w:eastAsiaTheme="minorEastAsia"/>
                <w:lang w:eastAsia="en-AU"/>
              </w:rPr>
              <w:t xml:space="preserve">Additions </w:t>
            </w:r>
            <w:r w:rsidRPr="00820AF8">
              <w:rPr>
                <w:rFonts w:eastAsiaTheme="minorEastAsia"/>
                <w:vertAlign w:val="superscript"/>
                <w:lang w:eastAsia="en-AU"/>
              </w:rPr>
              <w:t>(b</w:t>
            </w:r>
            <w:r w:rsidRPr="00820AF8">
              <w:rPr>
                <w:rFonts w:eastAsiaTheme="minorEastAsia" w:cs="Calibri"/>
                <w:vertAlign w:val="superscript"/>
                <w:lang w:eastAsia="en-AU"/>
              </w:rPr>
              <w:t>)</w:t>
            </w:r>
          </w:p>
        </w:tc>
        <w:tc>
          <w:tcPr>
            <w:tcW w:w="95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4 844.8</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4 268.0</w:t>
            </w:r>
          </w:p>
        </w:tc>
        <w:tc>
          <w:tcPr>
            <w:tcW w:w="95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3 688.8</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4 126.6</w:t>
            </w:r>
          </w:p>
        </w:tc>
        <w:tc>
          <w:tcPr>
            <w:tcW w:w="955"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4 384.5</w:t>
            </w:r>
          </w:p>
        </w:tc>
      </w:tr>
      <w:tr w:rsidR="00F60B5F" w:rsidRPr="00820AF8" w:rsidTr="00820AF8">
        <w:tc>
          <w:tcPr>
            <w:tcW w:w="2987" w:type="dxa"/>
            <w:tcBorders>
              <w:top w:val="nil"/>
              <w:left w:val="nil"/>
              <w:bottom w:val="nil"/>
              <w:right w:val="nil"/>
            </w:tcBorders>
          </w:tcPr>
          <w:p w:rsidR="00F60B5F" w:rsidRPr="00820AF8" w:rsidRDefault="00F60B5F" w:rsidP="00215377">
            <w:pPr>
              <w:pStyle w:val="Tabletext"/>
              <w:rPr>
                <w:rFonts w:eastAsiaTheme="minorEastAsia" w:cs="Calibri"/>
                <w:vertAlign w:val="superscript"/>
                <w:lang w:eastAsia="en-AU"/>
              </w:rPr>
            </w:pPr>
            <w:r w:rsidRPr="00820AF8">
              <w:rPr>
                <w:rFonts w:eastAsiaTheme="minorEastAsia"/>
                <w:lang w:eastAsia="en-AU"/>
              </w:rPr>
              <w:t xml:space="preserve">Disposals at written down value </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( 314.5)</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( 301.3)</w:t>
            </w:r>
          </w:p>
        </w:tc>
        <w:tc>
          <w:tcPr>
            <w:tcW w:w="954"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( 340.0)</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( 408.1)</w:t>
            </w:r>
          </w:p>
        </w:tc>
        <w:tc>
          <w:tcPr>
            <w:tcW w:w="955" w:type="dxa"/>
            <w:tcBorders>
              <w:top w:val="nil"/>
              <w:left w:val="nil"/>
              <w:bottom w:val="nil"/>
              <w:right w:val="nil"/>
            </w:tcBorders>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( 351.6)</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Revaluations</w:t>
            </w:r>
          </w:p>
        </w:tc>
        <w:tc>
          <w:tcPr>
            <w:tcW w:w="954"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3 917.7</w:t>
            </w:r>
          </w:p>
        </w:tc>
        <w:tc>
          <w:tcPr>
            <w:tcW w:w="955"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813.0</w:t>
            </w:r>
          </w:p>
        </w:tc>
        <w:tc>
          <w:tcPr>
            <w:tcW w:w="954"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3 536.6</w:t>
            </w:r>
          </w:p>
        </w:tc>
        <w:tc>
          <w:tcPr>
            <w:tcW w:w="955"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994.6</w:t>
            </w:r>
          </w:p>
        </w:tc>
        <w:tc>
          <w:tcPr>
            <w:tcW w:w="955"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1 948.3</w:t>
            </w:r>
          </w:p>
        </w:tc>
      </w:tr>
      <w:tr w:rsidR="00F60B5F" w:rsidRPr="00820AF8" w:rsidTr="00820AF8">
        <w:tc>
          <w:tcPr>
            <w:tcW w:w="298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Assets reclassified</w:t>
            </w:r>
          </w:p>
        </w:tc>
        <w:tc>
          <w:tcPr>
            <w:tcW w:w="954"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r w:rsidRPr="00820AF8">
              <w:rPr>
                <w:rFonts w:eastAsiaTheme="minorEastAsia" w:cs="Calibri"/>
                <w:lang w:eastAsia="en-AU"/>
              </w:rPr>
              <w:t xml:space="preserve"> 857.3)</w:t>
            </w:r>
          </w:p>
        </w:tc>
        <w:tc>
          <w:tcPr>
            <w:tcW w:w="955"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r w:rsidRPr="00820AF8">
              <w:rPr>
                <w:rFonts w:eastAsiaTheme="minorEastAsia" w:cs="Calibri"/>
                <w:lang w:eastAsia="en-AU"/>
              </w:rPr>
              <w:t xml:space="preserve"> 760.3)</w:t>
            </w:r>
          </w:p>
        </w:tc>
        <w:tc>
          <w:tcPr>
            <w:tcW w:w="954"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r w:rsidRPr="00820AF8">
              <w:rPr>
                <w:rFonts w:eastAsiaTheme="minorEastAsia" w:cs="Calibri"/>
                <w:lang w:eastAsia="en-AU"/>
              </w:rPr>
              <w:t xml:space="preserve"> 920.6)</w:t>
            </w:r>
          </w:p>
        </w:tc>
        <w:tc>
          <w:tcPr>
            <w:tcW w:w="955"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r w:rsidRPr="00820AF8">
              <w:rPr>
                <w:rFonts w:eastAsiaTheme="minorEastAsia" w:cs="Calibri"/>
                <w:lang w:eastAsia="en-AU"/>
              </w:rPr>
              <w:t xml:space="preserve"> 534.2)</w:t>
            </w:r>
          </w:p>
        </w:tc>
        <w:tc>
          <w:tcPr>
            <w:tcW w:w="955" w:type="dxa"/>
            <w:tcBorders>
              <w:top w:val="nil"/>
              <w:left w:val="nil"/>
              <w:bottom w:val="nil"/>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w:t>
            </w:r>
            <w:r w:rsidRPr="00820AF8">
              <w:rPr>
                <w:rFonts w:eastAsiaTheme="minorEastAsia" w:cs="Calibri"/>
                <w:lang w:eastAsia="en-AU"/>
              </w:rPr>
              <w:t xml:space="preserve"> 226.9)</w:t>
            </w:r>
          </w:p>
        </w:tc>
      </w:tr>
      <w:tr w:rsidR="00F60B5F" w:rsidRPr="00820AF8" w:rsidTr="00820AF8">
        <w:tc>
          <w:tcPr>
            <w:tcW w:w="2987"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Depreciation expense</w:t>
            </w:r>
          </w:p>
        </w:tc>
        <w:tc>
          <w:tcPr>
            <w:tcW w:w="954"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322.3)</w:t>
            </w:r>
          </w:p>
        </w:tc>
        <w:tc>
          <w:tcPr>
            <w:tcW w:w="955"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339.0)</w:t>
            </w:r>
          </w:p>
        </w:tc>
        <w:tc>
          <w:tcPr>
            <w:tcW w:w="954"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441.3)</w:t>
            </w:r>
          </w:p>
        </w:tc>
        <w:tc>
          <w:tcPr>
            <w:tcW w:w="955"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547.6)</w:t>
            </w:r>
          </w:p>
        </w:tc>
        <w:tc>
          <w:tcPr>
            <w:tcW w:w="955" w:type="dxa"/>
            <w:tcBorders>
              <w:top w:val="nil"/>
              <w:left w:val="nil"/>
              <w:bottom w:val="single" w:sz="6" w:space="0" w:color="auto"/>
              <w:right w:val="nil"/>
            </w:tcBorders>
            <w:shd w:val="solid" w:color="FFFFFF" w:fill="auto"/>
          </w:tcPr>
          <w:p w:rsidR="00F60B5F" w:rsidRPr="00820AF8" w:rsidRDefault="00F60B5F" w:rsidP="00820AF8">
            <w:pPr>
              <w:pStyle w:val="TableofFigures"/>
              <w:rPr>
                <w:rFonts w:eastAsiaTheme="minorEastAsia" w:cs="Calibri"/>
                <w:lang w:eastAsia="en-AU"/>
              </w:rPr>
            </w:pPr>
            <w:r w:rsidRPr="00820AF8">
              <w:rPr>
                <w:rFonts w:eastAsiaTheme="minorEastAsia"/>
                <w:lang w:eastAsia="en-AU"/>
              </w:rPr>
              <w:t xml:space="preserve">(2 </w:t>
            </w:r>
            <w:r w:rsidRPr="00820AF8">
              <w:rPr>
                <w:rFonts w:eastAsiaTheme="minorEastAsia" w:cs="Calibri"/>
                <w:lang w:eastAsia="en-AU"/>
              </w:rPr>
              <w:t>721.6)</w:t>
            </w:r>
          </w:p>
        </w:tc>
      </w:tr>
      <w:tr w:rsidR="00F60B5F" w:rsidRPr="00820AF8" w:rsidTr="00820AF8">
        <w:tc>
          <w:tcPr>
            <w:tcW w:w="2987"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cs="Calibri"/>
                <w:b/>
                <w:bCs/>
                <w:lang w:eastAsia="en-AU"/>
              </w:rPr>
            </w:pPr>
            <w:r w:rsidRPr="00820AF8">
              <w:rPr>
                <w:rFonts w:eastAsiaTheme="minorEastAsia"/>
                <w:b/>
                <w:bCs/>
                <w:lang w:eastAsia="en-AU"/>
              </w:rPr>
              <w:t xml:space="preserve">Carrying </w:t>
            </w:r>
            <w:r w:rsidRPr="00820AF8">
              <w:rPr>
                <w:rFonts w:eastAsiaTheme="minorEastAsia" w:cs="Calibri"/>
                <w:b/>
                <w:bCs/>
                <w:lang w:eastAsia="en-AU"/>
              </w:rPr>
              <w:t>amount at the end of the year</w:t>
            </w:r>
          </w:p>
        </w:tc>
        <w:tc>
          <w:tcPr>
            <w:tcW w:w="95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106 072.7</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102 484.4</w:t>
            </w:r>
          </w:p>
        </w:tc>
        <w:tc>
          <w:tcPr>
            <w:tcW w:w="95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106 007.9</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107 639.3</w:t>
            </w:r>
          </w:p>
        </w:tc>
        <w:tc>
          <w:tcPr>
            <w:tcW w:w="95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lang w:eastAsia="en-AU"/>
              </w:rPr>
            </w:pPr>
            <w:r w:rsidRPr="00820AF8">
              <w:rPr>
                <w:rFonts w:eastAsiaTheme="minorEastAsia"/>
                <w:b/>
                <w:bCs/>
                <w:lang w:eastAsia="en-AU"/>
              </w:rPr>
              <w:t>110 672.0</w:t>
            </w:r>
          </w:p>
        </w:tc>
      </w:tr>
    </w:tbl>
    <w:p w:rsidR="00F60B5F" w:rsidRPr="00B56B1C" w:rsidRDefault="00F60B5F" w:rsidP="009939C8">
      <w:pPr>
        <w:pStyle w:val="Notes"/>
      </w:pPr>
      <w:r w:rsidRPr="00B56B1C">
        <w:t>Notes:</w:t>
      </w:r>
    </w:p>
    <w:p w:rsidR="00F60B5F" w:rsidRPr="00B56B1C" w:rsidRDefault="00F60B5F" w:rsidP="00432E00">
      <w:pPr>
        <w:pStyle w:val="Notes"/>
      </w:pPr>
      <w:r w:rsidRPr="00B56B1C">
        <w:t>(a)</w:t>
      </w:r>
      <w:r w:rsidRPr="00B56B1C">
        <w:tab/>
        <w:t>Property, plant and equipment comprises land and buildings, infrastructure systems, plant, equipment, vehicles, road networks and cultural assets. Excludes intangible assets, investment properties and other non</w:t>
      </w:r>
      <w:r>
        <w:noBreakHyphen/>
      </w:r>
      <w:r w:rsidRPr="00B56B1C">
        <w:t>financial assets.</w:t>
      </w:r>
    </w:p>
    <w:p w:rsidR="00F60B5F" w:rsidRPr="00B56B1C" w:rsidRDefault="00F60B5F" w:rsidP="00432E00">
      <w:pPr>
        <w:pStyle w:val="Notes"/>
      </w:pPr>
      <w:r w:rsidRPr="00B56B1C">
        <w:t>(b)</w:t>
      </w:r>
      <w:r w:rsidRPr="00B56B1C">
        <w:tab/>
        <w:t>Includes assets acquired under finance lease arrangements.</w:t>
      </w:r>
    </w:p>
    <w:p w:rsidR="00F60B5F" w:rsidRPr="00B56B1C" w:rsidRDefault="00F60B5F" w:rsidP="00432E00">
      <w:pPr>
        <w:pStyle w:val="Notes"/>
        <w:rPr>
          <w:b/>
          <w:kern w:val="28"/>
          <w:sz w:val="26"/>
          <w:szCs w:val="22"/>
        </w:rPr>
      </w:pPr>
      <w:r w:rsidRPr="00B56B1C">
        <w:br w:type="page"/>
      </w:r>
    </w:p>
    <w:p w:rsidR="00F60B5F" w:rsidRPr="00B56B1C" w:rsidRDefault="00F60B5F" w:rsidP="00C54DC6">
      <w:pPr>
        <w:pStyle w:val="Heading2Notes"/>
      </w:pPr>
      <w:bookmarkStart w:id="44" w:name="_Toc373751825"/>
      <w:r w:rsidRPr="00B56B1C">
        <w:t>Note 19:</w:t>
      </w:r>
      <w:r w:rsidRPr="00B56B1C">
        <w:tab/>
        <w:t>Assets classified by government purpose and by department</w:t>
      </w:r>
      <w:bookmarkEnd w:id="44"/>
    </w:p>
    <w:p w:rsidR="00F60B5F" w:rsidRPr="00B56B1C" w:rsidRDefault="00F60B5F" w:rsidP="00172054">
      <w:pPr>
        <w:pStyle w:val="Heading5"/>
      </w:pPr>
      <w:r w:rsidRPr="00B56B1C">
        <w:t>(a)</w:t>
      </w:r>
      <w:r w:rsidRPr="00B56B1C">
        <w:tab/>
        <w:t>Purchases of non</w:t>
      </w:r>
      <w:r>
        <w:noBreakHyphen/>
      </w:r>
      <w:r w:rsidRPr="00B56B1C">
        <w:t xml:space="preserve">financial assets government purpose classification </w:t>
      </w:r>
    </w:p>
    <w:p w:rsidR="00F60B5F" w:rsidRPr="004B6975" w:rsidRDefault="00F60B5F" w:rsidP="004B6975">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954"/>
        <w:gridCol w:w="955"/>
        <w:gridCol w:w="954"/>
        <w:gridCol w:w="955"/>
        <w:gridCol w:w="955"/>
      </w:tblGrid>
      <w:tr w:rsidR="00F60B5F" w:rsidRPr="004B6975" w:rsidTr="004B6975">
        <w:tc>
          <w:tcPr>
            <w:tcW w:w="2987" w:type="dxa"/>
            <w:tcBorders>
              <w:top w:val="single" w:sz="6" w:space="0" w:color="000000"/>
              <w:left w:val="single" w:sz="6" w:space="0" w:color="000000"/>
              <w:bottom w:val="nil"/>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 xml:space="preserve">  </w:t>
            </w:r>
          </w:p>
        </w:tc>
        <w:tc>
          <w:tcPr>
            <w:tcW w:w="954" w:type="dxa"/>
            <w:tcBorders>
              <w:top w:val="single" w:sz="6" w:space="0" w:color="000000"/>
              <w:left w:val="nil"/>
              <w:bottom w:val="nil"/>
              <w:right w:val="nil"/>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2013</w:t>
            </w:r>
            <w:r>
              <w:rPr>
                <w:rFonts w:eastAsiaTheme="minorEastAsia"/>
                <w:iCs/>
                <w:color w:val="FFFFFF"/>
                <w:lang w:eastAsia="en-AU"/>
              </w:rPr>
              <w:noBreakHyphen/>
            </w:r>
            <w:r w:rsidRPr="004B6975">
              <w:rPr>
                <w:rFonts w:eastAsiaTheme="minorEastAsia"/>
                <w:iCs/>
                <w:color w:val="FFFFFF"/>
                <w:lang w:eastAsia="en-AU"/>
              </w:rPr>
              <w:t>14</w:t>
            </w:r>
          </w:p>
        </w:tc>
        <w:tc>
          <w:tcPr>
            <w:tcW w:w="955" w:type="dxa"/>
            <w:tcBorders>
              <w:top w:val="single" w:sz="6" w:space="0" w:color="000000"/>
              <w:left w:val="nil"/>
              <w:bottom w:val="nil"/>
              <w:right w:val="nil"/>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2013</w:t>
            </w:r>
            <w:r>
              <w:rPr>
                <w:rFonts w:eastAsiaTheme="minorEastAsia"/>
                <w:iCs/>
                <w:color w:val="FFFFFF"/>
                <w:lang w:eastAsia="en-AU"/>
              </w:rPr>
              <w:noBreakHyphen/>
            </w:r>
            <w:r w:rsidRPr="004B6975">
              <w:rPr>
                <w:rFonts w:eastAsiaTheme="minorEastAsia"/>
                <w:iCs/>
                <w:color w:val="FFFFFF"/>
                <w:lang w:eastAsia="en-AU"/>
              </w:rPr>
              <w:t>14</w:t>
            </w:r>
          </w:p>
        </w:tc>
        <w:tc>
          <w:tcPr>
            <w:tcW w:w="954" w:type="dxa"/>
            <w:tcBorders>
              <w:top w:val="single" w:sz="6" w:space="0" w:color="000000"/>
              <w:left w:val="nil"/>
              <w:bottom w:val="nil"/>
              <w:right w:val="nil"/>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2014</w:t>
            </w:r>
            <w:r>
              <w:rPr>
                <w:rFonts w:eastAsiaTheme="minorEastAsia"/>
                <w:iCs/>
                <w:color w:val="FFFFFF"/>
                <w:lang w:eastAsia="en-AU"/>
              </w:rPr>
              <w:noBreakHyphen/>
            </w:r>
            <w:r w:rsidRPr="004B6975">
              <w:rPr>
                <w:rFonts w:eastAsiaTheme="minorEastAsia"/>
                <w:iCs/>
                <w:color w:val="FFFFFF"/>
                <w:lang w:eastAsia="en-AU"/>
              </w:rPr>
              <w:t>15</w:t>
            </w:r>
          </w:p>
        </w:tc>
        <w:tc>
          <w:tcPr>
            <w:tcW w:w="955" w:type="dxa"/>
            <w:tcBorders>
              <w:top w:val="single" w:sz="6" w:space="0" w:color="000000"/>
              <w:left w:val="nil"/>
              <w:bottom w:val="nil"/>
              <w:right w:val="nil"/>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2015</w:t>
            </w:r>
            <w:r>
              <w:rPr>
                <w:rFonts w:eastAsiaTheme="minorEastAsia"/>
                <w:iCs/>
                <w:color w:val="FFFFFF"/>
                <w:lang w:eastAsia="en-AU"/>
              </w:rPr>
              <w:noBreakHyphen/>
            </w:r>
            <w:r w:rsidRPr="004B6975">
              <w:rPr>
                <w:rFonts w:eastAsiaTheme="minorEastAsia"/>
                <w:iCs/>
                <w:color w:val="FFFFFF"/>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2016</w:t>
            </w:r>
            <w:r>
              <w:rPr>
                <w:rFonts w:eastAsiaTheme="minorEastAsia"/>
                <w:iCs/>
                <w:color w:val="FFFFFF"/>
                <w:lang w:eastAsia="en-AU"/>
              </w:rPr>
              <w:noBreakHyphen/>
            </w:r>
            <w:r w:rsidRPr="004B6975">
              <w:rPr>
                <w:rFonts w:eastAsiaTheme="minorEastAsia"/>
                <w:iCs/>
                <w:color w:val="FFFFFF"/>
                <w:lang w:eastAsia="en-AU"/>
              </w:rPr>
              <w:t>17</w:t>
            </w:r>
          </w:p>
        </w:tc>
      </w:tr>
      <w:tr w:rsidR="00F60B5F" w:rsidRPr="004B6975" w:rsidTr="004B6975">
        <w:tc>
          <w:tcPr>
            <w:tcW w:w="2987" w:type="dxa"/>
            <w:tcBorders>
              <w:top w:val="nil"/>
              <w:left w:val="single" w:sz="6" w:space="0" w:color="000000"/>
              <w:bottom w:val="single" w:sz="6" w:space="0" w:color="000000"/>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 xml:space="preserve">   </w:t>
            </w:r>
          </w:p>
        </w:tc>
        <w:tc>
          <w:tcPr>
            <w:tcW w:w="954" w:type="dxa"/>
            <w:tcBorders>
              <w:top w:val="nil"/>
              <w:left w:val="nil"/>
              <w:bottom w:val="single" w:sz="6" w:space="0" w:color="000000"/>
              <w:right w:val="nil"/>
            </w:tcBorders>
            <w:shd w:val="clear" w:color="000000" w:fill="000000"/>
          </w:tcPr>
          <w:p w:rsidR="00F60B5F" w:rsidRPr="004B6975" w:rsidRDefault="00F60B5F" w:rsidP="004B6975">
            <w:pPr>
              <w:pStyle w:val="Tabletextheading"/>
              <w:rPr>
                <w:rFonts w:eastAsiaTheme="minorEastAsia"/>
                <w:iCs/>
                <w:color w:val="FFFFFF"/>
                <w:vertAlign w:val="superscript"/>
                <w:lang w:eastAsia="en-AU"/>
              </w:rPr>
            </w:pPr>
            <w:r w:rsidRPr="004B6975">
              <w:rPr>
                <w:rFonts w:eastAsiaTheme="minorEastAsia"/>
                <w:iCs/>
                <w:color w:val="FFFFFF"/>
                <w:lang w:eastAsia="en-AU"/>
              </w:rPr>
              <w:t xml:space="preserve">Budget </w:t>
            </w:r>
            <w:r w:rsidRPr="004B6975">
              <w:rPr>
                <w:rFonts w:eastAsiaTheme="minorEastAsia"/>
                <w:iCs/>
                <w:color w:val="FFFFFF"/>
                <w:vertAlign w:val="superscript"/>
                <w:lang w:eastAsia="en-AU"/>
              </w:rPr>
              <w:t>(a)</w:t>
            </w:r>
          </w:p>
        </w:tc>
        <w:tc>
          <w:tcPr>
            <w:tcW w:w="955" w:type="dxa"/>
            <w:tcBorders>
              <w:top w:val="nil"/>
              <w:left w:val="nil"/>
              <w:bottom w:val="single" w:sz="6" w:space="0" w:color="000000"/>
              <w:right w:val="nil"/>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Revised</w:t>
            </w:r>
          </w:p>
        </w:tc>
        <w:tc>
          <w:tcPr>
            <w:tcW w:w="954" w:type="dxa"/>
            <w:tcBorders>
              <w:top w:val="nil"/>
              <w:left w:val="nil"/>
              <w:bottom w:val="single" w:sz="6" w:space="0" w:color="000000"/>
              <w:right w:val="nil"/>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Estimate</w:t>
            </w:r>
          </w:p>
        </w:tc>
        <w:tc>
          <w:tcPr>
            <w:tcW w:w="955" w:type="dxa"/>
            <w:tcBorders>
              <w:top w:val="nil"/>
              <w:left w:val="nil"/>
              <w:bottom w:val="single" w:sz="6" w:space="0" w:color="000000"/>
              <w:right w:val="nil"/>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4B6975" w:rsidRDefault="00F60B5F" w:rsidP="004B6975">
            <w:pPr>
              <w:pStyle w:val="Tabletextheading"/>
              <w:rPr>
                <w:rFonts w:eastAsiaTheme="minorEastAsia"/>
                <w:iCs/>
                <w:color w:val="FFFFFF"/>
                <w:lang w:eastAsia="en-AU"/>
              </w:rPr>
            </w:pPr>
            <w:r w:rsidRPr="004B6975">
              <w:rPr>
                <w:rFonts w:eastAsiaTheme="minorEastAsia"/>
                <w:iCs/>
                <w:color w:val="FFFFFF"/>
                <w:lang w:eastAsia="en-AU"/>
              </w:rPr>
              <w:t>Estimate</w:t>
            </w:r>
          </w:p>
        </w:tc>
      </w:tr>
      <w:tr w:rsidR="00F60B5F" w:rsidRPr="004B6975" w:rsidTr="004B6975">
        <w:tc>
          <w:tcPr>
            <w:tcW w:w="2987" w:type="dxa"/>
            <w:tcBorders>
              <w:top w:val="single" w:sz="6" w:space="0" w:color="000000"/>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General public services</w:t>
            </w:r>
          </w:p>
        </w:tc>
        <w:tc>
          <w:tcPr>
            <w:tcW w:w="954" w:type="dxa"/>
            <w:tcBorders>
              <w:top w:val="single" w:sz="6" w:space="0" w:color="000000"/>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31.4</w:t>
            </w:r>
          </w:p>
        </w:tc>
        <w:tc>
          <w:tcPr>
            <w:tcW w:w="955" w:type="dxa"/>
            <w:tcBorders>
              <w:top w:val="single" w:sz="6" w:space="0" w:color="000000"/>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27.8</w:t>
            </w:r>
          </w:p>
        </w:tc>
        <w:tc>
          <w:tcPr>
            <w:tcW w:w="954" w:type="dxa"/>
            <w:tcBorders>
              <w:top w:val="single" w:sz="6" w:space="0" w:color="000000"/>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28.0</w:t>
            </w:r>
          </w:p>
        </w:tc>
        <w:tc>
          <w:tcPr>
            <w:tcW w:w="955" w:type="dxa"/>
            <w:tcBorders>
              <w:top w:val="single" w:sz="6" w:space="0" w:color="000000"/>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16.7</w:t>
            </w:r>
          </w:p>
        </w:tc>
        <w:tc>
          <w:tcPr>
            <w:tcW w:w="955" w:type="dxa"/>
            <w:tcBorders>
              <w:top w:val="single" w:sz="6" w:space="0" w:color="000000"/>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9.4</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Public order and safety</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color w:val="000000"/>
                <w:lang w:eastAsia="en-AU"/>
              </w:rPr>
            </w:pPr>
            <w:r w:rsidRPr="004B6975">
              <w:rPr>
                <w:rFonts w:eastAsiaTheme="minorEastAsia"/>
                <w:lang w:eastAsia="en-AU"/>
              </w:rPr>
              <w:t xml:space="preserve">1 </w:t>
            </w:r>
            <w:r w:rsidRPr="004B6975">
              <w:rPr>
                <w:rFonts w:eastAsiaTheme="minorEastAsia" w:cs="Calibri"/>
                <w:lang w:eastAsia="en-AU"/>
              </w:rPr>
              <w:t>083.0</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821.2</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916.7</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231.4</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224.3</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Education</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517.0</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535.3</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350.7</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242.8</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279.2</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Health</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1 </w:t>
            </w:r>
            <w:r w:rsidRPr="004B6975">
              <w:rPr>
                <w:rFonts w:eastAsiaTheme="minorEastAsia" w:cs="Calibri"/>
                <w:lang w:eastAsia="en-AU"/>
              </w:rPr>
              <w:t>159.9</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1 </w:t>
            </w:r>
            <w:r w:rsidRPr="004B6975">
              <w:rPr>
                <w:rFonts w:eastAsiaTheme="minorEastAsia" w:cs="Calibri"/>
                <w:lang w:eastAsia="en-AU"/>
              </w:rPr>
              <w:t>137.7</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721.5</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670.1</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1 </w:t>
            </w:r>
            <w:r w:rsidRPr="004B6975">
              <w:rPr>
                <w:rFonts w:eastAsiaTheme="minorEastAsia" w:cs="Calibri"/>
                <w:lang w:eastAsia="en-AU"/>
              </w:rPr>
              <w:t>021.7</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Social security and welfare</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102.5</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106.8</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67.2</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57.4</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63.5</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Housing and community amenities</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196.3</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154.8</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133.8</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82.7</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74.4</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Recreation and culture</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54.3</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51.9</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38.0</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33.1</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21.8</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Fuel and energy</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1.6</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1.6</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2.1</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2.0</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1.6</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Agriculture, forestry, fishing, and hunting</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57.1</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49.4</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7.7</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1.3</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1.3</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Transport and communications</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1 </w:t>
            </w:r>
            <w:r w:rsidRPr="004B6975">
              <w:rPr>
                <w:rFonts w:eastAsiaTheme="minorEastAsia" w:cs="Calibri"/>
                <w:lang w:eastAsia="en-AU"/>
              </w:rPr>
              <w:t>987.8</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1 </w:t>
            </w:r>
            <w:r w:rsidRPr="004B6975">
              <w:rPr>
                <w:rFonts w:eastAsiaTheme="minorEastAsia" w:cs="Calibri"/>
                <w:lang w:eastAsia="en-AU"/>
              </w:rPr>
              <w:t>903.1</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1 </w:t>
            </w:r>
            <w:r w:rsidRPr="004B6975">
              <w:rPr>
                <w:rFonts w:eastAsiaTheme="minorEastAsia" w:cs="Calibri"/>
                <w:lang w:eastAsia="en-AU"/>
              </w:rPr>
              <w:t>831.1</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909.0</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386.6</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Other economic affairs</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178.4</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174.3</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61.3</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40.2</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35.4</w:t>
            </w:r>
          </w:p>
        </w:tc>
      </w:tr>
      <w:tr w:rsidR="00F60B5F" w:rsidRPr="004B6975" w:rsidTr="004B6975">
        <w:tc>
          <w:tcPr>
            <w:tcW w:w="298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 xml:space="preserve">Other purposes </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0.1</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0.1</w:t>
            </w:r>
          </w:p>
        </w:tc>
        <w:tc>
          <w:tcPr>
            <w:tcW w:w="954"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0.1</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0.1</w:t>
            </w:r>
          </w:p>
        </w:tc>
        <w:tc>
          <w:tcPr>
            <w:tcW w:w="955"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0.1</w:t>
            </w:r>
          </w:p>
        </w:tc>
      </w:tr>
      <w:tr w:rsidR="00F60B5F" w:rsidRPr="004B6975" w:rsidTr="004B6975">
        <w:tc>
          <w:tcPr>
            <w:tcW w:w="2987" w:type="dxa"/>
            <w:tcBorders>
              <w:top w:val="nil"/>
              <w:left w:val="nil"/>
              <w:bottom w:val="single" w:sz="6" w:space="0" w:color="auto"/>
              <w:right w:val="nil"/>
            </w:tcBorders>
            <w:shd w:val="solid" w:color="FFFFFF" w:fill="auto"/>
          </w:tcPr>
          <w:p w:rsidR="00F60B5F" w:rsidRPr="004B6975" w:rsidRDefault="00F60B5F" w:rsidP="004B6975">
            <w:pPr>
              <w:pStyle w:val="Tabletext"/>
              <w:rPr>
                <w:rFonts w:eastAsiaTheme="minorEastAsia" w:cs="Calibri"/>
                <w:color w:val="000000"/>
                <w:vertAlign w:val="superscript"/>
                <w:lang w:eastAsia="en-AU"/>
              </w:rPr>
            </w:pPr>
            <w:r w:rsidRPr="004B6975">
              <w:rPr>
                <w:rFonts w:eastAsiaTheme="minorEastAsia"/>
                <w:lang w:eastAsia="en-AU"/>
              </w:rPr>
              <w:t xml:space="preserve">Not allocated by purpose </w:t>
            </w:r>
            <w:r w:rsidRPr="004B6975">
              <w:rPr>
                <w:rFonts w:eastAsiaTheme="minorEastAsia"/>
                <w:vertAlign w:val="superscript"/>
                <w:lang w:eastAsia="en-AU"/>
              </w:rPr>
              <w:t>(</w:t>
            </w:r>
            <w:r w:rsidRPr="004B6975">
              <w:rPr>
                <w:rFonts w:eastAsiaTheme="minorEastAsia" w:cs="Calibri"/>
                <w:color w:val="000000"/>
                <w:vertAlign w:val="superscript"/>
                <w:lang w:eastAsia="en-AU"/>
              </w:rPr>
              <w:t>b)</w:t>
            </w:r>
          </w:p>
        </w:tc>
        <w:tc>
          <w:tcPr>
            <w:tcW w:w="954"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w:t>
            </w:r>
            <w:r w:rsidRPr="004B6975">
              <w:rPr>
                <w:rFonts w:eastAsiaTheme="minorEastAsia" w:cs="Calibri"/>
                <w:lang w:eastAsia="en-AU"/>
              </w:rPr>
              <w:t>500.3)</w:t>
            </w:r>
          </w:p>
        </w:tc>
        <w:tc>
          <w:tcPr>
            <w:tcW w:w="955"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w:t>
            </w:r>
            <w:r w:rsidRPr="004B6975">
              <w:rPr>
                <w:rFonts w:eastAsiaTheme="minorEastAsia" w:cs="Calibri"/>
                <w:lang w:eastAsia="en-AU"/>
              </w:rPr>
              <w:t>778.5)</w:t>
            </w:r>
          </w:p>
        </w:tc>
        <w:tc>
          <w:tcPr>
            <w:tcW w:w="954"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231.1</w:t>
            </w:r>
          </w:p>
        </w:tc>
        <w:tc>
          <w:tcPr>
            <w:tcW w:w="955"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cs="Calibri"/>
                <w:lang w:eastAsia="en-AU"/>
              </w:rPr>
            </w:pPr>
            <w:r w:rsidRPr="004B6975">
              <w:rPr>
                <w:rFonts w:eastAsiaTheme="minorEastAsia"/>
                <w:lang w:eastAsia="en-AU"/>
              </w:rPr>
              <w:t xml:space="preserve"> 810.2</w:t>
            </w:r>
          </w:p>
        </w:tc>
        <w:tc>
          <w:tcPr>
            <w:tcW w:w="955"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cs="Calibri"/>
                <w:color w:val="000000"/>
                <w:lang w:eastAsia="en-AU"/>
              </w:rPr>
            </w:pPr>
            <w:r w:rsidRPr="004B6975">
              <w:rPr>
                <w:rFonts w:eastAsiaTheme="minorEastAsia"/>
                <w:lang w:eastAsia="en-AU"/>
              </w:rPr>
              <w:t xml:space="preserve">1 </w:t>
            </w:r>
            <w:r w:rsidRPr="004B6975">
              <w:rPr>
                <w:rFonts w:eastAsiaTheme="minorEastAsia" w:cs="Calibri"/>
                <w:lang w:eastAsia="en-AU"/>
              </w:rPr>
              <w:t>991.9</w:t>
            </w:r>
          </w:p>
        </w:tc>
      </w:tr>
      <w:tr w:rsidR="00F60B5F" w:rsidRPr="004B6975" w:rsidTr="004B6975">
        <w:tc>
          <w:tcPr>
            <w:tcW w:w="2987" w:type="dxa"/>
            <w:tcBorders>
              <w:top w:val="single" w:sz="6" w:space="0" w:color="auto"/>
              <w:left w:val="nil"/>
              <w:bottom w:val="single" w:sz="12" w:space="0" w:color="000000"/>
              <w:right w:val="nil"/>
            </w:tcBorders>
            <w:shd w:val="clear" w:color="auto" w:fill="auto"/>
          </w:tcPr>
          <w:p w:rsidR="00F60B5F" w:rsidRPr="004B6975" w:rsidRDefault="00F60B5F" w:rsidP="004B6975">
            <w:pPr>
              <w:pStyle w:val="Tabletext"/>
              <w:rPr>
                <w:rFonts w:eastAsiaTheme="minorEastAsia" w:cs="Calibri"/>
                <w:b/>
                <w:bCs/>
                <w:color w:val="000000"/>
                <w:vertAlign w:val="superscript"/>
                <w:lang w:eastAsia="en-AU"/>
              </w:rPr>
            </w:pPr>
            <w:r w:rsidRPr="004B6975">
              <w:rPr>
                <w:rFonts w:eastAsiaTheme="minorEastAsia"/>
                <w:b/>
                <w:bCs/>
                <w:lang w:eastAsia="en-AU"/>
              </w:rPr>
              <w:t>Total purchases of non</w:t>
            </w:r>
            <w:r>
              <w:rPr>
                <w:rFonts w:eastAsiaTheme="minorEastAsia"/>
                <w:b/>
                <w:bCs/>
                <w:lang w:eastAsia="en-AU"/>
              </w:rPr>
              <w:noBreakHyphen/>
            </w:r>
            <w:r w:rsidRPr="004B6975">
              <w:rPr>
                <w:rFonts w:eastAsiaTheme="minorEastAsia"/>
                <w:b/>
                <w:bCs/>
                <w:lang w:eastAsia="en-AU"/>
              </w:rPr>
              <w:t xml:space="preserve">financial assets </w:t>
            </w:r>
            <w:r w:rsidRPr="004B6975">
              <w:rPr>
                <w:rFonts w:eastAsiaTheme="minorEastAsia"/>
                <w:b/>
                <w:bCs/>
                <w:vertAlign w:val="superscript"/>
                <w:lang w:eastAsia="en-AU"/>
              </w:rPr>
              <w:t>(c</w:t>
            </w:r>
            <w:r w:rsidRPr="004B6975">
              <w:rPr>
                <w:rFonts w:eastAsiaTheme="minorEastAsia" w:cs="Calibri"/>
                <w:b/>
                <w:bCs/>
                <w:color w:val="000000"/>
                <w:vertAlign w:val="superscript"/>
                <w:lang w:eastAsia="en-AU"/>
              </w:rPr>
              <w:t>)</w:t>
            </w:r>
          </w:p>
        </w:tc>
        <w:tc>
          <w:tcPr>
            <w:tcW w:w="954" w:type="dxa"/>
            <w:tcBorders>
              <w:top w:val="single" w:sz="6" w:space="0" w:color="auto"/>
              <w:left w:val="nil"/>
              <w:bottom w:val="single" w:sz="12" w:space="0" w:color="000000"/>
              <w:right w:val="nil"/>
            </w:tcBorders>
            <w:shd w:val="clear" w:color="auto" w:fill="auto"/>
          </w:tcPr>
          <w:p w:rsidR="00F60B5F" w:rsidRPr="004B6975" w:rsidRDefault="00F60B5F" w:rsidP="004B6975">
            <w:pPr>
              <w:pStyle w:val="TableofFigures"/>
              <w:rPr>
                <w:rFonts w:eastAsiaTheme="minorEastAsia" w:cs="Calibri"/>
                <w:b/>
                <w:bCs/>
                <w:lang w:eastAsia="en-AU"/>
              </w:rPr>
            </w:pPr>
            <w:r w:rsidRPr="004B6975">
              <w:rPr>
                <w:rFonts w:eastAsiaTheme="minorEastAsia"/>
                <w:b/>
                <w:bCs/>
                <w:lang w:eastAsia="en-AU"/>
              </w:rPr>
              <w:t xml:space="preserve">4 </w:t>
            </w:r>
            <w:r w:rsidRPr="004B6975">
              <w:rPr>
                <w:rFonts w:eastAsiaTheme="minorEastAsia" w:cs="Calibri"/>
                <w:b/>
                <w:bCs/>
                <w:lang w:eastAsia="en-AU"/>
              </w:rPr>
              <w:t>868.9</w:t>
            </w:r>
          </w:p>
        </w:tc>
        <w:tc>
          <w:tcPr>
            <w:tcW w:w="955" w:type="dxa"/>
            <w:tcBorders>
              <w:top w:val="single" w:sz="6" w:space="0" w:color="auto"/>
              <w:left w:val="nil"/>
              <w:bottom w:val="single" w:sz="12" w:space="0" w:color="000000"/>
              <w:right w:val="nil"/>
            </w:tcBorders>
            <w:shd w:val="clear" w:color="auto" w:fill="auto"/>
          </w:tcPr>
          <w:p w:rsidR="00F60B5F" w:rsidRPr="004B6975" w:rsidRDefault="00F60B5F" w:rsidP="004B6975">
            <w:pPr>
              <w:pStyle w:val="TableofFigures"/>
              <w:rPr>
                <w:rFonts w:eastAsiaTheme="minorEastAsia" w:cs="Calibri"/>
                <w:b/>
                <w:bCs/>
                <w:lang w:eastAsia="en-AU"/>
              </w:rPr>
            </w:pPr>
            <w:r w:rsidRPr="004B6975">
              <w:rPr>
                <w:rFonts w:eastAsiaTheme="minorEastAsia"/>
                <w:b/>
                <w:bCs/>
                <w:lang w:eastAsia="en-AU"/>
              </w:rPr>
              <w:t xml:space="preserve">4 </w:t>
            </w:r>
            <w:r w:rsidRPr="004B6975">
              <w:rPr>
                <w:rFonts w:eastAsiaTheme="minorEastAsia" w:cs="Calibri"/>
                <w:b/>
                <w:bCs/>
                <w:lang w:eastAsia="en-AU"/>
              </w:rPr>
              <w:t>185.2</w:t>
            </w:r>
          </w:p>
        </w:tc>
        <w:tc>
          <w:tcPr>
            <w:tcW w:w="954" w:type="dxa"/>
            <w:tcBorders>
              <w:top w:val="single" w:sz="6" w:space="0" w:color="auto"/>
              <w:left w:val="nil"/>
              <w:bottom w:val="single" w:sz="12" w:space="0" w:color="000000"/>
              <w:right w:val="nil"/>
            </w:tcBorders>
            <w:shd w:val="clear" w:color="auto" w:fill="auto"/>
          </w:tcPr>
          <w:p w:rsidR="00F60B5F" w:rsidRPr="004B6975" w:rsidRDefault="00F60B5F" w:rsidP="004B6975">
            <w:pPr>
              <w:pStyle w:val="TableofFigures"/>
              <w:rPr>
                <w:rFonts w:eastAsiaTheme="minorEastAsia" w:cs="Calibri"/>
                <w:b/>
                <w:bCs/>
                <w:lang w:eastAsia="en-AU"/>
              </w:rPr>
            </w:pPr>
            <w:r w:rsidRPr="004B6975">
              <w:rPr>
                <w:rFonts w:eastAsiaTheme="minorEastAsia"/>
                <w:b/>
                <w:bCs/>
                <w:lang w:eastAsia="en-AU"/>
              </w:rPr>
              <w:t xml:space="preserve">4 </w:t>
            </w:r>
            <w:r w:rsidRPr="004B6975">
              <w:rPr>
                <w:rFonts w:eastAsiaTheme="minorEastAsia" w:cs="Calibri"/>
                <w:b/>
                <w:bCs/>
                <w:lang w:eastAsia="en-AU"/>
              </w:rPr>
              <w:t>389.5</w:t>
            </w:r>
          </w:p>
        </w:tc>
        <w:tc>
          <w:tcPr>
            <w:tcW w:w="955" w:type="dxa"/>
            <w:tcBorders>
              <w:top w:val="single" w:sz="6" w:space="0" w:color="auto"/>
              <w:left w:val="nil"/>
              <w:bottom w:val="single" w:sz="12" w:space="0" w:color="000000"/>
              <w:right w:val="nil"/>
            </w:tcBorders>
            <w:shd w:val="clear" w:color="auto" w:fill="auto"/>
          </w:tcPr>
          <w:p w:rsidR="00F60B5F" w:rsidRPr="004B6975" w:rsidRDefault="00F60B5F" w:rsidP="004B6975">
            <w:pPr>
              <w:pStyle w:val="TableofFigures"/>
              <w:rPr>
                <w:rFonts w:eastAsiaTheme="minorEastAsia" w:cs="Calibri"/>
                <w:b/>
                <w:bCs/>
                <w:lang w:eastAsia="en-AU"/>
              </w:rPr>
            </w:pPr>
            <w:r w:rsidRPr="004B6975">
              <w:rPr>
                <w:rFonts w:eastAsiaTheme="minorEastAsia"/>
                <w:b/>
                <w:bCs/>
                <w:lang w:eastAsia="en-AU"/>
              </w:rPr>
              <w:t xml:space="preserve">3 </w:t>
            </w:r>
            <w:r w:rsidRPr="004B6975">
              <w:rPr>
                <w:rFonts w:eastAsiaTheme="minorEastAsia" w:cs="Calibri"/>
                <w:b/>
                <w:bCs/>
                <w:lang w:eastAsia="en-AU"/>
              </w:rPr>
              <w:t>096.8</w:t>
            </w:r>
          </w:p>
        </w:tc>
        <w:tc>
          <w:tcPr>
            <w:tcW w:w="955" w:type="dxa"/>
            <w:tcBorders>
              <w:top w:val="single" w:sz="6" w:space="0" w:color="auto"/>
              <w:left w:val="nil"/>
              <w:bottom w:val="single" w:sz="12" w:space="0" w:color="000000"/>
              <w:right w:val="nil"/>
            </w:tcBorders>
            <w:shd w:val="clear" w:color="auto" w:fill="auto"/>
          </w:tcPr>
          <w:p w:rsidR="00F60B5F" w:rsidRPr="004B6975" w:rsidRDefault="00F60B5F" w:rsidP="004B6975">
            <w:pPr>
              <w:pStyle w:val="TableofFigures"/>
              <w:rPr>
                <w:rFonts w:eastAsiaTheme="minorEastAsia" w:cs="Calibri"/>
                <w:b/>
                <w:bCs/>
                <w:lang w:eastAsia="en-AU"/>
              </w:rPr>
            </w:pPr>
            <w:r w:rsidRPr="004B6975">
              <w:rPr>
                <w:rFonts w:eastAsiaTheme="minorEastAsia"/>
                <w:b/>
                <w:bCs/>
                <w:lang w:eastAsia="en-AU"/>
              </w:rPr>
              <w:t xml:space="preserve">4 </w:t>
            </w:r>
            <w:r w:rsidRPr="004B6975">
              <w:rPr>
                <w:rFonts w:eastAsiaTheme="minorEastAsia" w:cs="Calibri"/>
                <w:b/>
                <w:bCs/>
                <w:lang w:eastAsia="en-AU"/>
              </w:rPr>
              <w:t>111.2</w:t>
            </w:r>
          </w:p>
        </w:tc>
      </w:tr>
    </w:tbl>
    <w:p w:rsidR="00F60B5F" w:rsidRPr="00B56B1C" w:rsidRDefault="00F60B5F" w:rsidP="0060231F">
      <w:pPr>
        <w:pStyle w:val="Notes"/>
      </w:pPr>
      <w:r w:rsidRPr="00B56B1C">
        <w:t>Notes:</w:t>
      </w:r>
    </w:p>
    <w:p w:rsidR="00F60B5F" w:rsidRDefault="00F60B5F" w:rsidP="00E52E3F">
      <w:pPr>
        <w:pStyle w:val="Notes"/>
      </w:pPr>
      <w:r w:rsidRPr="00B56B1C">
        <w:t xml:space="preserve">(a) </w:t>
      </w:r>
      <w:r w:rsidRPr="00B56B1C">
        <w:tab/>
      </w:r>
      <w:r>
        <w:t xml:space="preserve">Several previously published allocations have been restated reflecting the refinement of allocation methodology. </w:t>
      </w:r>
    </w:p>
    <w:p w:rsidR="00F60B5F" w:rsidRPr="00B56B1C" w:rsidRDefault="00F60B5F" w:rsidP="00E52E3F">
      <w:pPr>
        <w:pStyle w:val="Notes"/>
      </w:pPr>
      <w:r w:rsidRPr="00B56B1C">
        <w:t xml:space="preserve">(b) </w:t>
      </w:r>
      <w:r w:rsidRPr="00B56B1C">
        <w:tab/>
      </w:r>
      <w:r>
        <w:t>Estimated amount available to be</w:t>
      </w:r>
      <w:r w:rsidRPr="00B56B1C">
        <w:t xml:space="preserve"> allocated to</w:t>
      </w:r>
      <w:r>
        <w:t xml:space="preserve"> departments and projects in </w:t>
      </w:r>
      <w:r w:rsidRPr="00B56B1C">
        <w:t xml:space="preserve"> future </w:t>
      </w:r>
      <w:r>
        <w:t>budgets. This includes</w:t>
      </w:r>
      <w:r w:rsidRPr="00B56B1C">
        <w:t xml:space="preserve"> departmental unders</w:t>
      </w:r>
      <w:r>
        <w:t>pending, which may be subject to carryover</w:t>
      </w:r>
      <w:r w:rsidRPr="00B56B1C">
        <w:t>.</w:t>
      </w:r>
    </w:p>
    <w:p w:rsidR="00F60B5F" w:rsidRPr="00B56B1C" w:rsidRDefault="00F60B5F" w:rsidP="00D3030D">
      <w:pPr>
        <w:pStyle w:val="Notes"/>
      </w:pPr>
      <w:r w:rsidRPr="00B56B1C">
        <w:t>(</w:t>
      </w:r>
      <w:r>
        <w:t>c</w:t>
      </w:r>
      <w:r w:rsidRPr="00B56B1C">
        <w:t xml:space="preserve">) </w:t>
      </w:r>
      <w:r w:rsidRPr="00B56B1C">
        <w:tab/>
      </w:r>
      <w:r>
        <w:t>Classifications have been determined using ratios based on historical data and the impact of policy and non</w:t>
      </w:r>
      <w:r>
        <w:noBreakHyphen/>
        <w:t>policy estimate variations.</w:t>
      </w:r>
    </w:p>
    <w:p w:rsidR="00F60B5F" w:rsidRPr="00B56B1C" w:rsidRDefault="00F60B5F">
      <w:pPr>
        <w:spacing w:after="0"/>
        <w:rPr>
          <w:rFonts w:ascii="Calibri" w:hAnsi="Calibri"/>
          <w:b/>
        </w:rPr>
      </w:pPr>
      <w:r w:rsidRPr="00B56B1C">
        <w:br w:type="page"/>
      </w:r>
    </w:p>
    <w:p w:rsidR="00F60B5F" w:rsidRPr="00B56B1C" w:rsidRDefault="00F60B5F" w:rsidP="00172054">
      <w:pPr>
        <w:pStyle w:val="Heading5"/>
      </w:pPr>
      <w:r w:rsidRPr="00B56B1C">
        <w:t>(b)</w:t>
      </w:r>
      <w:r w:rsidRPr="00B56B1C">
        <w:tab/>
        <w:t>Purchases of non</w:t>
      </w:r>
      <w:r>
        <w:noBreakHyphen/>
      </w:r>
      <w:r w:rsidRPr="00B56B1C">
        <w:t>financial assets by department</w:t>
      </w:r>
    </w:p>
    <w:p w:rsidR="00F60B5F" w:rsidRPr="004B6975" w:rsidRDefault="00F60B5F" w:rsidP="004B6975">
      <w:pPr>
        <w:pStyle w:val="million"/>
      </w:pPr>
      <w:r w:rsidRPr="00B56B1C">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077"/>
        <w:gridCol w:w="936"/>
        <w:gridCol w:w="937"/>
        <w:gridCol w:w="936"/>
        <w:gridCol w:w="937"/>
        <w:gridCol w:w="937"/>
      </w:tblGrid>
      <w:tr w:rsidR="00F60B5F" w:rsidRPr="004B6975" w:rsidTr="004B6975">
        <w:tc>
          <w:tcPr>
            <w:tcW w:w="3077" w:type="dxa"/>
            <w:tcBorders>
              <w:top w:val="single" w:sz="6" w:space="0" w:color="auto"/>
              <w:left w:val="single" w:sz="6" w:space="0" w:color="auto"/>
              <w:bottom w:val="nil"/>
              <w:right w:val="nil"/>
            </w:tcBorders>
            <w:shd w:val="clear" w:color="000000" w:fill="000000"/>
          </w:tcPr>
          <w:p w:rsidR="00F60B5F" w:rsidRPr="004B6975" w:rsidRDefault="00F60B5F" w:rsidP="004B6975">
            <w:pPr>
              <w:pStyle w:val="Tabletext"/>
              <w:rPr>
                <w:rFonts w:eastAsiaTheme="minorEastAsia"/>
                <w:lang w:eastAsia="en-AU"/>
              </w:rPr>
            </w:pPr>
            <w:r w:rsidRPr="004B6975">
              <w:rPr>
                <w:rFonts w:eastAsiaTheme="minorEastAsia"/>
                <w:lang w:eastAsia="en-AU"/>
              </w:rPr>
              <w:t xml:space="preserve">  </w:t>
            </w:r>
          </w:p>
        </w:tc>
        <w:tc>
          <w:tcPr>
            <w:tcW w:w="936" w:type="dxa"/>
            <w:tcBorders>
              <w:top w:val="single" w:sz="6" w:space="0" w:color="auto"/>
              <w:left w:val="nil"/>
              <w:bottom w:val="nil"/>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2013</w:t>
            </w:r>
            <w:r>
              <w:rPr>
                <w:rFonts w:eastAsiaTheme="minorEastAsia"/>
                <w:color w:val="FFFFFF"/>
                <w:lang w:eastAsia="en-AU"/>
              </w:rPr>
              <w:noBreakHyphen/>
            </w:r>
            <w:r w:rsidRPr="004B6975">
              <w:rPr>
                <w:rFonts w:eastAsiaTheme="minorEastAsia"/>
                <w:color w:val="FFFFFF"/>
                <w:lang w:eastAsia="en-AU"/>
              </w:rPr>
              <w:t>14</w:t>
            </w:r>
          </w:p>
        </w:tc>
        <w:tc>
          <w:tcPr>
            <w:tcW w:w="937" w:type="dxa"/>
            <w:tcBorders>
              <w:top w:val="single" w:sz="6" w:space="0" w:color="auto"/>
              <w:left w:val="nil"/>
              <w:bottom w:val="nil"/>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2013</w:t>
            </w:r>
            <w:r>
              <w:rPr>
                <w:rFonts w:eastAsiaTheme="minorEastAsia"/>
                <w:color w:val="FFFFFF"/>
                <w:lang w:eastAsia="en-AU"/>
              </w:rPr>
              <w:noBreakHyphen/>
            </w:r>
            <w:r w:rsidRPr="004B6975">
              <w:rPr>
                <w:rFonts w:eastAsiaTheme="minorEastAsia"/>
                <w:color w:val="FFFFFF"/>
                <w:lang w:eastAsia="en-AU"/>
              </w:rPr>
              <w:t>14</w:t>
            </w:r>
          </w:p>
        </w:tc>
        <w:tc>
          <w:tcPr>
            <w:tcW w:w="936" w:type="dxa"/>
            <w:tcBorders>
              <w:top w:val="single" w:sz="6" w:space="0" w:color="auto"/>
              <w:left w:val="nil"/>
              <w:bottom w:val="nil"/>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2014</w:t>
            </w:r>
            <w:r>
              <w:rPr>
                <w:rFonts w:eastAsiaTheme="minorEastAsia"/>
                <w:color w:val="FFFFFF"/>
                <w:lang w:eastAsia="en-AU"/>
              </w:rPr>
              <w:noBreakHyphen/>
            </w:r>
            <w:r w:rsidRPr="004B6975">
              <w:rPr>
                <w:rFonts w:eastAsiaTheme="minorEastAsia"/>
                <w:color w:val="FFFFFF"/>
                <w:lang w:eastAsia="en-AU"/>
              </w:rPr>
              <w:t>15</w:t>
            </w:r>
          </w:p>
        </w:tc>
        <w:tc>
          <w:tcPr>
            <w:tcW w:w="937" w:type="dxa"/>
            <w:tcBorders>
              <w:top w:val="single" w:sz="6" w:space="0" w:color="auto"/>
              <w:left w:val="nil"/>
              <w:bottom w:val="nil"/>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2015</w:t>
            </w:r>
            <w:r>
              <w:rPr>
                <w:rFonts w:eastAsiaTheme="minorEastAsia"/>
                <w:color w:val="FFFFFF"/>
                <w:lang w:eastAsia="en-AU"/>
              </w:rPr>
              <w:noBreakHyphen/>
            </w:r>
            <w:r w:rsidRPr="004B6975">
              <w:rPr>
                <w:rFonts w:eastAsiaTheme="minorEastAsia"/>
                <w:color w:val="FFFFFF"/>
                <w:lang w:eastAsia="en-AU"/>
              </w:rPr>
              <w:t>16</w:t>
            </w:r>
          </w:p>
        </w:tc>
        <w:tc>
          <w:tcPr>
            <w:tcW w:w="937" w:type="dxa"/>
            <w:tcBorders>
              <w:top w:val="single" w:sz="6" w:space="0" w:color="auto"/>
              <w:left w:val="nil"/>
              <w:bottom w:val="nil"/>
              <w:right w:val="single" w:sz="6" w:space="0" w:color="auto"/>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2016</w:t>
            </w:r>
            <w:r>
              <w:rPr>
                <w:rFonts w:eastAsiaTheme="minorEastAsia"/>
                <w:color w:val="FFFFFF"/>
                <w:lang w:eastAsia="en-AU"/>
              </w:rPr>
              <w:noBreakHyphen/>
            </w:r>
            <w:r w:rsidRPr="004B6975">
              <w:rPr>
                <w:rFonts w:eastAsiaTheme="minorEastAsia"/>
                <w:color w:val="FFFFFF"/>
                <w:lang w:eastAsia="en-AU"/>
              </w:rPr>
              <w:t>17</w:t>
            </w:r>
          </w:p>
        </w:tc>
      </w:tr>
      <w:tr w:rsidR="00F60B5F" w:rsidRPr="004B6975" w:rsidTr="004B6975">
        <w:tc>
          <w:tcPr>
            <w:tcW w:w="3077" w:type="dxa"/>
            <w:tcBorders>
              <w:top w:val="nil"/>
              <w:left w:val="single" w:sz="6" w:space="0" w:color="auto"/>
              <w:bottom w:val="single" w:sz="6" w:space="0" w:color="auto"/>
              <w:right w:val="nil"/>
            </w:tcBorders>
            <w:shd w:val="clear" w:color="000000" w:fill="000000"/>
          </w:tcPr>
          <w:p w:rsidR="00F60B5F" w:rsidRPr="004B6975" w:rsidRDefault="00F60B5F" w:rsidP="004B6975">
            <w:pPr>
              <w:pStyle w:val="Tabletext"/>
              <w:rPr>
                <w:rFonts w:eastAsiaTheme="minorEastAsia"/>
                <w:lang w:eastAsia="en-AU"/>
              </w:rPr>
            </w:pPr>
            <w:r w:rsidRPr="004B6975">
              <w:rPr>
                <w:rFonts w:eastAsiaTheme="minorEastAsia"/>
                <w:lang w:eastAsia="en-AU"/>
              </w:rPr>
              <w:t xml:space="preserve"> </w:t>
            </w:r>
          </w:p>
        </w:tc>
        <w:tc>
          <w:tcPr>
            <w:tcW w:w="936" w:type="dxa"/>
            <w:tcBorders>
              <w:top w:val="nil"/>
              <w:left w:val="nil"/>
              <w:bottom w:val="single" w:sz="6" w:space="0" w:color="auto"/>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 xml:space="preserve">Budget </w:t>
            </w:r>
            <w:r w:rsidRPr="004B6975">
              <w:rPr>
                <w:rFonts w:eastAsiaTheme="minorEastAsia"/>
                <w:color w:val="FFFFFF"/>
                <w:vertAlign w:val="superscript"/>
                <w:lang w:eastAsia="en-AU"/>
              </w:rPr>
              <w:t>(a)</w:t>
            </w:r>
          </w:p>
        </w:tc>
        <w:tc>
          <w:tcPr>
            <w:tcW w:w="937" w:type="dxa"/>
            <w:tcBorders>
              <w:top w:val="nil"/>
              <w:left w:val="nil"/>
              <w:bottom w:val="single" w:sz="6" w:space="0" w:color="auto"/>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Revised</w:t>
            </w:r>
          </w:p>
        </w:tc>
        <w:tc>
          <w:tcPr>
            <w:tcW w:w="936" w:type="dxa"/>
            <w:tcBorders>
              <w:top w:val="nil"/>
              <w:left w:val="nil"/>
              <w:bottom w:val="single" w:sz="6" w:space="0" w:color="auto"/>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Estimate</w:t>
            </w:r>
          </w:p>
        </w:tc>
        <w:tc>
          <w:tcPr>
            <w:tcW w:w="937" w:type="dxa"/>
            <w:tcBorders>
              <w:top w:val="nil"/>
              <w:left w:val="nil"/>
              <w:bottom w:val="single" w:sz="6" w:space="0" w:color="auto"/>
              <w:right w:val="nil"/>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Estimate</w:t>
            </w:r>
          </w:p>
        </w:tc>
        <w:tc>
          <w:tcPr>
            <w:tcW w:w="937" w:type="dxa"/>
            <w:tcBorders>
              <w:top w:val="nil"/>
              <w:left w:val="nil"/>
              <w:bottom w:val="single" w:sz="6" w:space="0" w:color="auto"/>
              <w:right w:val="single" w:sz="6" w:space="0" w:color="auto"/>
            </w:tcBorders>
            <w:shd w:val="clear" w:color="000000" w:fill="000000"/>
          </w:tcPr>
          <w:p w:rsidR="00F60B5F" w:rsidRPr="004B6975" w:rsidRDefault="00F60B5F" w:rsidP="004B6975">
            <w:pPr>
              <w:pStyle w:val="Tabletextheading"/>
              <w:rPr>
                <w:rFonts w:eastAsiaTheme="minorEastAsia"/>
                <w:color w:val="FFFFFF"/>
                <w:lang w:eastAsia="en-AU"/>
              </w:rPr>
            </w:pPr>
            <w:r w:rsidRPr="004B6975">
              <w:rPr>
                <w:rFonts w:eastAsiaTheme="minorEastAsia"/>
                <w:color w:val="FFFFFF"/>
                <w:lang w:eastAsia="en-AU"/>
              </w:rPr>
              <w:t>Estimate</w:t>
            </w:r>
          </w:p>
        </w:tc>
      </w:tr>
      <w:tr w:rsidR="00F60B5F" w:rsidRPr="004B6975" w:rsidTr="004B6975">
        <w:tc>
          <w:tcPr>
            <w:tcW w:w="3077" w:type="dxa"/>
            <w:tcBorders>
              <w:top w:val="single" w:sz="6" w:space="0" w:color="auto"/>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Education and Early Childhood Development</w:t>
            </w:r>
          </w:p>
        </w:tc>
        <w:tc>
          <w:tcPr>
            <w:tcW w:w="936" w:type="dxa"/>
            <w:tcBorders>
              <w:top w:val="single" w:sz="6" w:space="0" w:color="auto"/>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516.0</w:t>
            </w:r>
          </w:p>
        </w:tc>
        <w:tc>
          <w:tcPr>
            <w:tcW w:w="937" w:type="dxa"/>
            <w:tcBorders>
              <w:top w:val="single" w:sz="6" w:space="0" w:color="auto"/>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534.2</w:t>
            </w:r>
          </w:p>
        </w:tc>
        <w:tc>
          <w:tcPr>
            <w:tcW w:w="936" w:type="dxa"/>
            <w:tcBorders>
              <w:top w:val="single" w:sz="6" w:space="0" w:color="auto"/>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349.7</w:t>
            </w:r>
          </w:p>
        </w:tc>
        <w:tc>
          <w:tcPr>
            <w:tcW w:w="937" w:type="dxa"/>
            <w:tcBorders>
              <w:top w:val="single" w:sz="6" w:space="0" w:color="auto"/>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243.2</w:t>
            </w:r>
          </w:p>
        </w:tc>
        <w:tc>
          <w:tcPr>
            <w:tcW w:w="937" w:type="dxa"/>
            <w:tcBorders>
              <w:top w:val="single" w:sz="6" w:space="0" w:color="auto"/>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279.0</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Environment and Primary Industries</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208.1</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168.3</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74.7</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57.0</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51.8</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Health</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1 205.1</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1 182.0</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749.1</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699.9</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1 064.8</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Human Services</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78.3</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86.5</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53.9</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43.1</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31.6</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Justice</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839.6</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535.0</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787.1</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141.6</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120.5</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Parliament</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3.3</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1.9</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3.0</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3.0</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3.0</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Premier and Cabinet</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80.4</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81.8</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39.1</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25.4</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21.0</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 xml:space="preserve">State Development, Business and Innovation  </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150.8</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159.0</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35.9</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36.8</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32.4</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Transport, Planning and Local Infrastructure</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2 065.7</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1 963.3</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1 918.5</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955.0</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423.9</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lang w:eastAsia="en-AU"/>
              </w:rPr>
            </w:pPr>
            <w:r w:rsidRPr="004B6975">
              <w:rPr>
                <w:rFonts w:eastAsiaTheme="minorEastAsia"/>
                <w:lang w:eastAsia="en-AU"/>
              </w:rPr>
              <w:t>Treasury and Finance</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17.2</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18.0</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16.3</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11.6</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4.4</w:t>
            </w:r>
          </w:p>
        </w:tc>
      </w:tr>
      <w:tr w:rsidR="00F60B5F" w:rsidRPr="004B6975" w:rsidTr="004B6975">
        <w:tc>
          <w:tcPr>
            <w:tcW w:w="3077" w:type="dxa"/>
            <w:tcBorders>
              <w:top w:val="nil"/>
              <w:left w:val="nil"/>
              <w:bottom w:val="nil"/>
              <w:right w:val="nil"/>
            </w:tcBorders>
            <w:shd w:val="solid" w:color="FFFFFF" w:fill="auto"/>
          </w:tcPr>
          <w:p w:rsidR="00F60B5F" w:rsidRPr="004B6975" w:rsidRDefault="00F60B5F" w:rsidP="004B6975">
            <w:pPr>
              <w:pStyle w:val="Tabletext"/>
              <w:rPr>
                <w:rFonts w:eastAsiaTheme="minorEastAsia"/>
                <w:vertAlign w:val="superscript"/>
                <w:lang w:eastAsia="en-AU"/>
              </w:rPr>
            </w:pPr>
            <w:r w:rsidRPr="004B6975">
              <w:rPr>
                <w:rFonts w:eastAsiaTheme="minorEastAsia"/>
                <w:lang w:eastAsia="en-AU"/>
              </w:rPr>
              <w:t xml:space="preserve">Regulatory bodies and other part budget funded agencies </w:t>
            </w:r>
            <w:r w:rsidRPr="004B6975">
              <w:rPr>
                <w:rFonts w:eastAsiaTheme="minorEastAsia"/>
                <w:vertAlign w:val="superscript"/>
                <w:lang w:eastAsia="en-AU"/>
              </w:rPr>
              <w:t>(b)</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204.8</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233.8</w:t>
            </w:r>
          </w:p>
        </w:tc>
        <w:tc>
          <w:tcPr>
            <w:tcW w:w="936"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131.2</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70.1</w:t>
            </w:r>
          </w:p>
        </w:tc>
        <w:tc>
          <w:tcPr>
            <w:tcW w:w="937" w:type="dxa"/>
            <w:tcBorders>
              <w:top w:val="nil"/>
              <w:left w:val="nil"/>
              <w:bottom w:val="nil"/>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86.9</w:t>
            </w:r>
          </w:p>
        </w:tc>
      </w:tr>
      <w:tr w:rsidR="00F60B5F" w:rsidRPr="004B6975" w:rsidTr="004B6975">
        <w:tc>
          <w:tcPr>
            <w:tcW w:w="3077" w:type="dxa"/>
            <w:tcBorders>
              <w:top w:val="nil"/>
              <w:left w:val="nil"/>
              <w:bottom w:val="single" w:sz="6" w:space="0" w:color="auto"/>
              <w:right w:val="nil"/>
            </w:tcBorders>
            <w:shd w:val="solid" w:color="FFFFFF" w:fill="auto"/>
          </w:tcPr>
          <w:p w:rsidR="00F60B5F" w:rsidRPr="004B6975" w:rsidRDefault="00F60B5F" w:rsidP="004B6975">
            <w:pPr>
              <w:pStyle w:val="Tabletext"/>
              <w:rPr>
                <w:rFonts w:eastAsiaTheme="minorEastAsia"/>
                <w:vertAlign w:val="superscript"/>
                <w:lang w:eastAsia="en-AU"/>
              </w:rPr>
            </w:pPr>
            <w:r w:rsidRPr="004B6975">
              <w:rPr>
                <w:rFonts w:eastAsiaTheme="minorEastAsia"/>
                <w:lang w:eastAsia="en-AU"/>
              </w:rPr>
              <w:t xml:space="preserve">Contingencies not allocated to departments </w:t>
            </w:r>
            <w:r w:rsidRPr="004B6975">
              <w:rPr>
                <w:rFonts w:eastAsiaTheme="minorEastAsia"/>
                <w:vertAlign w:val="superscript"/>
                <w:lang w:eastAsia="en-AU"/>
              </w:rPr>
              <w:t>(c)</w:t>
            </w:r>
          </w:p>
        </w:tc>
        <w:tc>
          <w:tcPr>
            <w:tcW w:w="936"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( 500.3)</w:t>
            </w:r>
          </w:p>
        </w:tc>
        <w:tc>
          <w:tcPr>
            <w:tcW w:w="937"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( 778.5)</w:t>
            </w:r>
          </w:p>
        </w:tc>
        <w:tc>
          <w:tcPr>
            <w:tcW w:w="936"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231.1</w:t>
            </w:r>
          </w:p>
        </w:tc>
        <w:tc>
          <w:tcPr>
            <w:tcW w:w="937"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 xml:space="preserve"> 810.2</w:t>
            </w:r>
          </w:p>
        </w:tc>
        <w:tc>
          <w:tcPr>
            <w:tcW w:w="937" w:type="dxa"/>
            <w:tcBorders>
              <w:top w:val="nil"/>
              <w:left w:val="nil"/>
              <w:bottom w:val="single" w:sz="6" w:space="0" w:color="auto"/>
              <w:right w:val="nil"/>
            </w:tcBorders>
            <w:shd w:val="solid" w:color="FFFFFF" w:fill="auto"/>
          </w:tcPr>
          <w:p w:rsidR="00F60B5F" w:rsidRPr="004B6975" w:rsidRDefault="00F60B5F" w:rsidP="004B6975">
            <w:pPr>
              <w:pStyle w:val="TableofFigures"/>
              <w:rPr>
                <w:rFonts w:eastAsiaTheme="minorEastAsia"/>
                <w:lang w:eastAsia="en-AU"/>
              </w:rPr>
            </w:pPr>
            <w:r w:rsidRPr="004B6975">
              <w:rPr>
                <w:rFonts w:eastAsiaTheme="minorEastAsia"/>
                <w:lang w:eastAsia="en-AU"/>
              </w:rPr>
              <w:t>1 991.9</w:t>
            </w:r>
          </w:p>
        </w:tc>
      </w:tr>
      <w:tr w:rsidR="00F60B5F" w:rsidRPr="004B6975" w:rsidTr="004B6975">
        <w:tc>
          <w:tcPr>
            <w:tcW w:w="3077" w:type="dxa"/>
            <w:tcBorders>
              <w:top w:val="single" w:sz="6" w:space="0" w:color="auto"/>
              <w:left w:val="nil"/>
              <w:bottom w:val="single" w:sz="12" w:space="0" w:color="000000"/>
              <w:right w:val="nil"/>
            </w:tcBorders>
            <w:shd w:val="solid" w:color="FFFFFF" w:fill="auto"/>
          </w:tcPr>
          <w:p w:rsidR="00F60B5F" w:rsidRPr="004B6975" w:rsidRDefault="00F60B5F" w:rsidP="004B6975">
            <w:pPr>
              <w:pStyle w:val="Tabletext"/>
              <w:rPr>
                <w:rFonts w:eastAsiaTheme="minorEastAsia"/>
                <w:b/>
                <w:bCs/>
                <w:lang w:eastAsia="en-AU"/>
              </w:rPr>
            </w:pPr>
            <w:r w:rsidRPr="004B6975">
              <w:rPr>
                <w:rFonts w:eastAsiaTheme="minorEastAsia"/>
                <w:b/>
                <w:bCs/>
                <w:lang w:eastAsia="en-AU"/>
              </w:rPr>
              <w:t>Total purchases of non</w:t>
            </w:r>
            <w:r>
              <w:rPr>
                <w:rFonts w:eastAsiaTheme="minorEastAsia"/>
                <w:b/>
                <w:bCs/>
                <w:lang w:eastAsia="en-AU"/>
              </w:rPr>
              <w:noBreakHyphen/>
            </w:r>
            <w:r w:rsidRPr="004B6975">
              <w:rPr>
                <w:rFonts w:eastAsiaTheme="minorEastAsia"/>
                <w:b/>
                <w:bCs/>
                <w:lang w:eastAsia="en-AU"/>
              </w:rPr>
              <w:t>financial Assets</w:t>
            </w:r>
          </w:p>
        </w:tc>
        <w:tc>
          <w:tcPr>
            <w:tcW w:w="936" w:type="dxa"/>
            <w:tcBorders>
              <w:top w:val="single" w:sz="6" w:space="0" w:color="auto"/>
              <w:left w:val="nil"/>
              <w:bottom w:val="single" w:sz="12" w:space="0" w:color="000000"/>
              <w:right w:val="nil"/>
            </w:tcBorders>
            <w:shd w:val="solid" w:color="FFFFFF" w:fill="auto"/>
          </w:tcPr>
          <w:p w:rsidR="00F60B5F" w:rsidRPr="004B6975" w:rsidRDefault="00F60B5F" w:rsidP="004B6975">
            <w:pPr>
              <w:pStyle w:val="TableofFigures"/>
              <w:rPr>
                <w:rFonts w:eastAsiaTheme="minorEastAsia"/>
                <w:b/>
                <w:bCs/>
                <w:lang w:eastAsia="en-AU"/>
              </w:rPr>
            </w:pPr>
            <w:r w:rsidRPr="004B6975">
              <w:rPr>
                <w:rFonts w:eastAsiaTheme="minorEastAsia"/>
                <w:b/>
                <w:bCs/>
                <w:lang w:eastAsia="en-AU"/>
              </w:rPr>
              <w:t>4 868.9</w:t>
            </w:r>
          </w:p>
        </w:tc>
        <w:tc>
          <w:tcPr>
            <w:tcW w:w="937" w:type="dxa"/>
            <w:tcBorders>
              <w:top w:val="single" w:sz="6" w:space="0" w:color="auto"/>
              <w:left w:val="nil"/>
              <w:bottom w:val="single" w:sz="12" w:space="0" w:color="000000"/>
              <w:right w:val="nil"/>
            </w:tcBorders>
            <w:shd w:val="solid" w:color="FFFFFF" w:fill="auto"/>
          </w:tcPr>
          <w:p w:rsidR="00F60B5F" w:rsidRPr="004B6975" w:rsidRDefault="00F60B5F" w:rsidP="004B6975">
            <w:pPr>
              <w:pStyle w:val="TableofFigures"/>
              <w:rPr>
                <w:rFonts w:eastAsiaTheme="minorEastAsia"/>
                <w:b/>
                <w:bCs/>
                <w:lang w:eastAsia="en-AU"/>
              </w:rPr>
            </w:pPr>
            <w:r w:rsidRPr="004B6975">
              <w:rPr>
                <w:rFonts w:eastAsiaTheme="minorEastAsia"/>
                <w:b/>
                <w:bCs/>
                <w:lang w:eastAsia="en-AU"/>
              </w:rPr>
              <w:t>4 185.2</w:t>
            </w:r>
          </w:p>
        </w:tc>
        <w:tc>
          <w:tcPr>
            <w:tcW w:w="936" w:type="dxa"/>
            <w:tcBorders>
              <w:top w:val="single" w:sz="6" w:space="0" w:color="auto"/>
              <w:left w:val="nil"/>
              <w:bottom w:val="single" w:sz="12" w:space="0" w:color="000000"/>
              <w:right w:val="nil"/>
            </w:tcBorders>
            <w:shd w:val="solid" w:color="FFFFFF" w:fill="auto"/>
          </w:tcPr>
          <w:p w:rsidR="00F60B5F" w:rsidRPr="004B6975" w:rsidRDefault="00F60B5F" w:rsidP="004B6975">
            <w:pPr>
              <w:pStyle w:val="TableofFigures"/>
              <w:rPr>
                <w:rFonts w:eastAsiaTheme="minorEastAsia"/>
                <w:b/>
                <w:bCs/>
                <w:lang w:eastAsia="en-AU"/>
              </w:rPr>
            </w:pPr>
            <w:r w:rsidRPr="004B6975">
              <w:rPr>
                <w:rFonts w:eastAsiaTheme="minorEastAsia"/>
                <w:b/>
                <w:bCs/>
                <w:lang w:eastAsia="en-AU"/>
              </w:rPr>
              <w:t>4 389.5</w:t>
            </w:r>
          </w:p>
        </w:tc>
        <w:tc>
          <w:tcPr>
            <w:tcW w:w="937" w:type="dxa"/>
            <w:tcBorders>
              <w:top w:val="single" w:sz="6" w:space="0" w:color="auto"/>
              <w:left w:val="nil"/>
              <w:bottom w:val="single" w:sz="12" w:space="0" w:color="000000"/>
              <w:right w:val="nil"/>
            </w:tcBorders>
            <w:shd w:val="solid" w:color="FFFFFF" w:fill="auto"/>
          </w:tcPr>
          <w:p w:rsidR="00F60B5F" w:rsidRPr="004B6975" w:rsidRDefault="00F60B5F" w:rsidP="004B6975">
            <w:pPr>
              <w:pStyle w:val="TableofFigures"/>
              <w:rPr>
                <w:rFonts w:eastAsiaTheme="minorEastAsia"/>
                <w:b/>
                <w:bCs/>
                <w:lang w:eastAsia="en-AU"/>
              </w:rPr>
            </w:pPr>
            <w:r w:rsidRPr="004B6975">
              <w:rPr>
                <w:rFonts w:eastAsiaTheme="minorEastAsia"/>
                <w:b/>
                <w:bCs/>
                <w:lang w:eastAsia="en-AU"/>
              </w:rPr>
              <w:t>3 096.8</w:t>
            </w:r>
          </w:p>
        </w:tc>
        <w:tc>
          <w:tcPr>
            <w:tcW w:w="937" w:type="dxa"/>
            <w:tcBorders>
              <w:top w:val="single" w:sz="6" w:space="0" w:color="auto"/>
              <w:left w:val="nil"/>
              <w:bottom w:val="single" w:sz="12" w:space="0" w:color="000000"/>
              <w:right w:val="nil"/>
            </w:tcBorders>
            <w:shd w:val="solid" w:color="FFFFFF" w:fill="auto"/>
          </w:tcPr>
          <w:p w:rsidR="00F60B5F" w:rsidRPr="004B6975" w:rsidRDefault="00F60B5F" w:rsidP="004B6975">
            <w:pPr>
              <w:pStyle w:val="TableofFigures"/>
              <w:rPr>
                <w:rFonts w:eastAsiaTheme="minorEastAsia"/>
                <w:b/>
                <w:bCs/>
                <w:lang w:eastAsia="en-AU"/>
              </w:rPr>
            </w:pPr>
            <w:r w:rsidRPr="004B6975">
              <w:rPr>
                <w:rFonts w:eastAsiaTheme="minorEastAsia"/>
                <w:b/>
                <w:bCs/>
                <w:lang w:eastAsia="en-AU"/>
              </w:rPr>
              <w:t>4 111.2</w:t>
            </w:r>
          </w:p>
        </w:tc>
      </w:tr>
    </w:tbl>
    <w:p w:rsidR="00F60B5F" w:rsidRPr="00B56B1C" w:rsidRDefault="00F60B5F" w:rsidP="003112E2">
      <w:pPr>
        <w:pStyle w:val="Notes"/>
      </w:pPr>
      <w:r w:rsidRPr="00B56B1C">
        <w:t>Notes:</w:t>
      </w:r>
    </w:p>
    <w:p w:rsidR="00F60B5F" w:rsidRDefault="00F60B5F" w:rsidP="00E52E3F">
      <w:pPr>
        <w:pStyle w:val="Notes"/>
      </w:pPr>
      <w:r w:rsidRPr="00B56B1C">
        <w:t xml:space="preserve">(a) </w:t>
      </w:r>
      <w:r w:rsidRPr="00B56B1C">
        <w:tab/>
      </w:r>
      <w:r>
        <w:t xml:space="preserve">Several previously published allocations have been restated reflecting the refinement of allocation methodology. </w:t>
      </w:r>
    </w:p>
    <w:p w:rsidR="00F60B5F" w:rsidRPr="00B56B1C" w:rsidRDefault="00F60B5F" w:rsidP="00E52E3F">
      <w:pPr>
        <w:pStyle w:val="Notes"/>
      </w:pPr>
      <w:r w:rsidRPr="00B56B1C">
        <w:t xml:space="preserve">(b) </w:t>
      </w:r>
      <w:r w:rsidRPr="00B56B1C">
        <w:tab/>
        <w:t>Other general government sector agencies, which receive less than 50</w:t>
      </w:r>
      <w:r>
        <w:t> per cent</w:t>
      </w:r>
      <w:r w:rsidRPr="00B56B1C">
        <w:t xml:space="preserve"> of their revenue from appropriations and therefore are not allocated to departments</w:t>
      </w:r>
      <w:r>
        <w:t>.</w:t>
      </w:r>
    </w:p>
    <w:p w:rsidR="00F60B5F" w:rsidRPr="00B56B1C" w:rsidRDefault="00F60B5F" w:rsidP="000C5ADC">
      <w:pPr>
        <w:pStyle w:val="Notes"/>
      </w:pPr>
      <w:r w:rsidRPr="00B56B1C">
        <w:t>(</w:t>
      </w:r>
      <w:r>
        <w:t>c</w:t>
      </w:r>
      <w:r w:rsidRPr="00B56B1C">
        <w:t xml:space="preserve">) </w:t>
      </w:r>
      <w:r w:rsidRPr="00B56B1C">
        <w:tab/>
      </w:r>
      <w:r>
        <w:t>Estimated amount available to be</w:t>
      </w:r>
      <w:r w:rsidRPr="00B56B1C">
        <w:t xml:space="preserve"> allocated to</w:t>
      </w:r>
      <w:r>
        <w:t xml:space="preserve"> departments and projects in </w:t>
      </w:r>
      <w:r w:rsidRPr="00B56B1C">
        <w:t xml:space="preserve"> future </w:t>
      </w:r>
      <w:r>
        <w:t>budgets. This includes</w:t>
      </w:r>
      <w:r w:rsidRPr="00B56B1C">
        <w:t xml:space="preserve"> departmental unders</w:t>
      </w:r>
      <w:r>
        <w:t>pending, which may be subject to carryover.</w:t>
      </w:r>
    </w:p>
    <w:p w:rsidR="00F60B5F" w:rsidRPr="00B56B1C" w:rsidRDefault="00F60B5F" w:rsidP="00DA299C">
      <w:pPr>
        <w:pStyle w:val="Notes"/>
      </w:pPr>
    </w:p>
    <w:p w:rsidR="00F60B5F" w:rsidRPr="00B56B1C" w:rsidRDefault="00F60B5F">
      <w:pPr>
        <w:spacing w:after="0"/>
        <w:rPr>
          <w:rFonts w:ascii="Calibri" w:hAnsi="Calibri"/>
          <w:b/>
        </w:rPr>
      </w:pPr>
      <w:r w:rsidRPr="00B56B1C">
        <w:br w:type="page"/>
      </w:r>
    </w:p>
    <w:p w:rsidR="00F60B5F" w:rsidRPr="00B56B1C" w:rsidRDefault="00F60B5F" w:rsidP="00172054">
      <w:pPr>
        <w:pStyle w:val="Heading5"/>
      </w:pPr>
      <w:r w:rsidRPr="00B56B1C">
        <w:t>(c)</w:t>
      </w:r>
      <w:r w:rsidRPr="00B56B1C">
        <w:tab/>
        <w:t>Total assets</w:t>
      </w:r>
    </w:p>
    <w:p w:rsidR="00F60B5F" w:rsidRPr="00BA572A" w:rsidRDefault="00F60B5F" w:rsidP="00BA572A">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954"/>
        <w:gridCol w:w="955"/>
        <w:gridCol w:w="954"/>
        <w:gridCol w:w="955"/>
        <w:gridCol w:w="955"/>
      </w:tblGrid>
      <w:tr w:rsidR="00F60B5F" w:rsidRPr="00BA572A" w:rsidTr="00BA572A">
        <w:tc>
          <w:tcPr>
            <w:tcW w:w="2987" w:type="dxa"/>
            <w:tcBorders>
              <w:top w:val="single" w:sz="6" w:space="0" w:color="000000"/>
              <w:left w:val="single" w:sz="6" w:space="0" w:color="000000"/>
              <w:bottom w:val="nil"/>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 xml:space="preserve">  </w:t>
            </w:r>
          </w:p>
        </w:tc>
        <w:tc>
          <w:tcPr>
            <w:tcW w:w="954"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2013</w:t>
            </w:r>
            <w:r>
              <w:rPr>
                <w:rFonts w:eastAsiaTheme="minorEastAsia"/>
                <w:iCs/>
                <w:lang w:eastAsia="en-AU"/>
              </w:rPr>
              <w:noBreakHyphen/>
            </w:r>
            <w:r w:rsidRPr="00BA572A">
              <w:rPr>
                <w:rFonts w:eastAsiaTheme="minorEastAsia"/>
                <w:iCs/>
                <w:lang w:eastAsia="en-AU"/>
              </w:rPr>
              <w:t>14</w:t>
            </w:r>
          </w:p>
        </w:tc>
        <w:tc>
          <w:tcPr>
            <w:tcW w:w="955"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2013</w:t>
            </w:r>
            <w:r>
              <w:rPr>
                <w:rFonts w:eastAsiaTheme="minorEastAsia"/>
                <w:iCs/>
                <w:lang w:eastAsia="en-AU"/>
              </w:rPr>
              <w:noBreakHyphen/>
            </w:r>
            <w:r w:rsidRPr="00BA572A">
              <w:rPr>
                <w:rFonts w:eastAsiaTheme="minorEastAsia"/>
                <w:iCs/>
                <w:lang w:eastAsia="en-AU"/>
              </w:rPr>
              <w:t>14</w:t>
            </w:r>
          </w:p>
        </w:tc>
        <w:tc>
          <w:tcPr>
            <w:tcW w:w="954"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2014</w:t>
            </w:r>
            <w:r>
              <w:rPr>
                <w:rFonts w:eastAsiaTheme="minorEastAsia"/>
                <w:iCs/>
                <w:lang w:eastAsia="en-AU"/>
              </w:rPr>
              <w:noBreakHyphen/>
            </w:r>
            <w:r w:rsidRPr="00BA572A">
              <w:rPr>
                <w:rFonts w:eastAsiaTheme="minorEastAsia"/>
                <w:iCs/>
                <w:lang w:eastAsia="en-AU"/>
              </w:rPr>
              <w:t>15</w:t>
            </w:r>
          </w:p>
        </w:tc>
        <w:tc>
          <w:tcPr>
            <w:tcW w:w="955" w:type="dxa"/>
            <w:tcBorders>
              <w:top w:val="single" w:sz="6" w:space="0" w:color="000000"/>
              <w:left w:val="nil"/>
              <w:bottom w:val="nil"/>
              <w:right w:val="nil"/>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2015</w:t>
            </w:r>
            <w:r>
              <w:rPr>
                <w:rFonts w:eastAsiaTheme="minorEastAsia"/>
                <w:iCs/>
                <w:lang w:eastAsia="en-AU"/>
              </w:rPr>
              <w:noBreakHyphen/>
            </w:r>
            <w:r w:rsidRPr="00BA572A">
              <w:rPr>
                <w:rFonts w:eastAsiaTheme="minorEastAsia"/>
                <w:iCs/>
                <w:lang w:eastAsia="en-AU"/>
              </w:rPr>
              <w:t>16</w:t>
            </w:r>
          </w:p>
        </w:tc>
        <w:tc>
          <w:tcPr>
            <w:tcW w:w="955" w:type="dxa"/>
            <w:tcBorders>
              <w:top w:val="single" w:sz="6" w:space="0" w:color="000000"/>
              <w:left w:val="nil"/>
              <w:bottom w:val="nil"/>
              <w:right w:val="single" w:sz="6" w:space="0" w:color="000000"/>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2016</w:t>
            </w:r>
            <w:r>
              <w:rPr>
                <w:rFonts w:eastAsiaTheme="minorEastAsia"/>
                <w:iCs/>
                <w:lang w:eastAsia="en-AU"/>
              </w:rPr>
              <w:noBreakHyphen/>
            </w:r>
            <w:r w:rsidRPr="00BA572A">
              <w:rPr>
                <w:rFonts w:eastAsiaTheme="minorEastAsia"/>
                <w:iCs/>
                <w:lang w:eastAsia="en-AU"/>
              </w:rPr>
              <w:t>17</w:t>
            </w:r>
          </w:p>
        </w:tc>
      </w:tr>
      <w:tr w:rsidR="00F60B5F" w:rsidRPr="00BA572A" w:rsidTr="00BA572A">
        <w:tc>
          <w:tcPr>
            <w:tcW w:w="2987" w:type="dxa"/>
            <w:tcBorders>
              <w:top w:val="nil"/>
              <w:left w:val="single" w:sz="6" w:space="0" w:color="000000"/>
              <w:bottom w:val="single" w:sz="6" w:space="0" w:color="000000"/>
              <w:right w:val="nil"/>
            </w:tcBorders>
            <w:shd w:val="clear" w:color="000000" w:fill="000000"/>
          </w:tcPr>
          <w:p w:rsidR="00F60B5F" w:rsidRPr="00BA572A" w:rsidRDefault="00F60B5F" w:rsidP="00BA572A">
            <w:pPr>
              <w:pStyle w:val="Tabletextheading"/>
              <w:rPr>
                <w:rFonts w:eastAsiaTheme="minorEastAsia"/>
                <w:lang w:eastAsia="en-AU"/>
              </w:rPr>
            </w:pPr>
            <w:r w:rsidRPr="00BA572A">
              <w:rPr>
                <w:rFonts w:eastAsiaTheme="minorEastAsia"/>
                <w:lang w:eastAsia="en-AU"/>
              </w:rPr>
              <w:t xml:space="preserve">   </w:t>
            </w:r>
          </w:p>
        </w:tc>
        <w:tc>
          <w:tcPr>
            <w:tcW w:w="954"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Budget</w:t>
            </w:r>
            <w:r w:rsidRPr="0093525C">
              <w:rPr>
                <w:rFonts w:eastAsiaTheme="minorEastAsia"/>
                <w:iCs/>
                <w:vertAlign w:val="superscript"/>
                <w:lang w:eastAsia="en-AU"/>
              </w:rPr>
              <w:t>(a)</w:t>
            </w:r>
            <w:r>
              <w:rPr>
                <w:rFonts w:eastAsiaTheme="minorEastAsia"/>
                <w:iCs/>
                <w:lang w:eastAsia="en-AU"/>
              </w:rPr>
              <w:t xml:space="preserve"> </w:t>
            </w:r>
          </w:p>
        </w:tc>
        <w:tc>
          <w:tcPr>
            <w:tcW w:w="955"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Revised</w:t>
            </w:r>
          </w:p>
        </w:tc>
        <w:tc>
          <w:tcPr>
            <w:tcW w:w="954"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Estimate</w:t>
            </w:r>
          </w:p>
        </w:tc>
        <w:tc>
          <w:tcPr>
            <w:tcW w:w="955" w:type="dxa"/>
            <w:tcBorders>
              <w:top w:val="nil"/>
              <w:left w:val="nil"/>
              <w:bottom w:val="single" w:sz="6" w:space="0" w:color="000000"/>
              <w:right w:val="nil"/>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Estimate</w:t>
            </w:r>
          </w:p>
        </w:tc>
        <w:tc>
          <w:tcPr>
            <w:tcW w:w="955" w:type="dxa"/>
            <w:tcBorders>
              <w:top w:val="nil"/>
              <w:left w:val="nil"/>
              <w:bottom w:val="single" w:sz="6" w:space="0" w:color="000000"/>
              <w:right w:val="single" w:sz="6" w:space="0" w:color="000000"/>
            </w:tcBorders>
            <w:shd w:val="clear" w:color="000000" w:fill="000000"/>
          </w:tcPr>
          <w:p w:rsidR="00F60B5F" w:rsidRPr="00BA572A" w:rsidRDefault="00F60B5F" w:rsidP="00BA572A">
            <w:pPr>
              <w:pStyle w:val="Tabletextheading"/>
              <w:rPr>
                <w:rFonts w:eastAsiaTheme="minorEastAsia"/>
                <w:iCs/>
                <w:lang w:eastAsia="en-AU"/>
              </w:rPr>
            </w:pPr>
            <w:r w:rsidRPr="00BA572A">
              <w:rPr>
                <w:rFonts w:eastAsiaTheme="minorEastAsia"/>
                <w:iCs/>
                <w:lang w:eastAsia="en-AU"/>
              </w:rPr>
              <w:t>Estimate</w:t>
            </w:r>
          </w:p>
        </w:tc>
      </w:tr>
      <w:tr w:rsidR="00F60B5F" w:rsidRPr="00BA572A" w:rsidTr="00BA572A">
        <w:tc>
          <w:tcPr>
            <w:tcW w:w="2987" w:type="dxa"/>
            <w:tcBorders>
              <w:top w:val="single" w:sz="6" w:space="0" w:color="000000"/>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General public services</w:t>
            </w:r>
          </w:p>
        </w:tc>
        <w:tc>
          <w:tcPr>
            <w:tcW w:w="954"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 </w:t>
            </w:r>
            <w:r w:rsidRPr="00BA572A">
              <w:rPr>
                <w:rFonts w:eastAsiaTheme="minorEastAsia" w:cs="Calibri"/>
                <w:lang w:eastAsia="en-AU"/>
              </w:rPr>
              <w:t>377.5</w:t>
            </w:r>
          </w:p>
        </w:tc>
        <w:tc>
          <w:tcPr>
            <w:tcW w:w="955"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 </w:t>
            </w:r>
            <w:r w:rsidRPr="00BA572A">
              <w:rPr>
                <w:rFonts w:eastAsiaTheme="minorEastAsia" w:cs="Calibri"/>
                <w:lang w:eastAsia="en-AU"/>
              </w:rPr>
              <w:t>417.5</w:t>
            </w:r>
          </w:p>
        </w:tc>
        <w:tc>
          <w:tcPr>
            <w:tcW w:w="954"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 </w:t>
            </w:r>
            <w:r w:rsidRPr="00BA572A">
              <w:rPr>
                <w:rFonts w:eastAsiaTheme="minorEastAsia" w:cs="Calibri"/>
                <w:lang w:eastAsia="en-AU"/>
              </w:rPr>
              <w:t>702.3</w:t>
            </w:r>
          </w:p>
        </w:tc>
        <w:tc>
          <w:tcPr>
            <w:tcW w:w="955"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2 </w:t>
            </w:r>
            <w:r w:rsidRPr="00BA572A">
              <w:rPr>
                <w:rFonts w:eastAsiaTheme="minorEastAsia" w:cs="Calibri"/>
                <w:lang w:eastAsia="en-AU"/>
              </w:rPr>
              <w:t>273.9</w:t>
            </w:r>
          </w:p>
        </w:tc>
        <w:tc>
          <w:tcPr>
            <w:tcW w:w="955" w:type="dxa"/>
            <w:tcBorders>
              <w:top w:val="single" w:sz="6" w:space="0" w:color="000000"/>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3 </w:t>
            </w:r>
            <w:r w:rsidRPr="00BA572A">
              <w:rPr>
                <w:rFonts w:eastAsiaTheme="minorEastAsia" w:cs="Calibri"/>
                <w:lang w:eastAsia="en-AU"/>
              </w:rPr>
              <w:t>425.7</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Public order and safety</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9 </w:t>
            </w:r>
            <w:r w:rsidRPr="00BA572A">
              <w:rPr>
                <w:rFonts w:eastAsiaTheme="minorEastAsia" w:cs="Calibri"/>
                <w:lang w:eastAsia="en-AU"/>
              </w:rPr>
              <w:t>487.7</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9 </w:t>
            </w:r>
            <w:r w:rsidRPr="00BA572A">
              <w:rPr>
                <w:rFonts w:eastAsiaTheme="minorEastAsia" w:cs="Calibri"/>
                <w:lang w:eastAsia="en-AU"/>
              </w:rPr>
              <w:t>136.6</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9 </w:t>
            </w:r>
            <w:r w:rsidRPr="00BA572A">
              <w:rPr>
                <w:rFonts w:eastAsiaTheme="minorEastAsia" w:cs="Calibri"/>
                <w:lang w:eastAsia="en-AU"/>
              </w:rPr>
              <w:t>363.7</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9 </w:t>
            </w:r>
            <w:r w:rsidRPr="00BA572A">
              <w:rPr>
                <w:rFonts w:eastAsiaTheme="minorEastAsia" w:cs="Calibri"/>
                <w:lang w:eastAsia="en-AU"/>
              </w:rPr>
              <w:t>414.0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9 </w:t>
            </w:r>
            <w:r w:rsidRPr="00BA572A">
              <w:rPr>
                <w:rFonts w:eastAsiaTheme="minorEastAsia" w:cs="Calibri"/>
                <w:lang w:eastAsia="en-AU"/>
              </w:rPr>
              <w:t>453.6</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Education</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17 </w:t>
            </w:r>
            <w:r w:rsidRPr="00BA572A">
              <w:rPr>
                <w:rFonts w:eastAsiaTheme="minorEastAsia" w:cs="Calibri"/>
                <w:lang w:eastAsia="en-AU"/>
              </w:rPr>
              <w:t>327.8</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17 </w:t>
            </w:r>
            <w:r w:rsidRPr="00BA572A">
              <w:rPr>
                <w:rFonts w:eastAsiaTheme="minorEastAsia" w:cs="Calibri"/>
                <w:lang w:eastAsia="en-AU"/>
              </w:rPr>
              <w:t>232.0</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16 </w:t>
            </w:r>
            <w:r w:rsidRPr="00BA572A">
              <w:rPr>
                <w:rFonts w:eastAsiaTheme="minorEastAsia" w:cs="Calibri"/>
                <w:lang w:eastAsia="en-AU"/>
              </w:rPr>
              <w:t>988.1</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16 </w:t>
            </w:r>
            <w:r w:rsidRPr="00BA572A">
              <w:rPr>
                <w:rFonts w:eastAsiaTheme="minorEastAsia" w:cs="Calibri"/>
                <w:lang w:eastAsia="en-AU"/>
              </w:rPr>
              <w:t>923.8</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17 </w:t>
            </w:r>
            <w:r w:rsidRPr="00BA572A">
              <w:rPr>
                <w:rFonts w:eastAsiaTheme="minorEastAsia" w:cs="Calibri"/>
                <w:lang w:eastAsia="en-AU"/>
              </w:rPr>
              <w:t>218.4</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Health</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11 </w:t>
            </w:r>
            <w:r w:rsidRPr="00BA572A">
              <w:rPr>
                <w:rFonts w:eastAsiaTheme="minorEastAsia" w:cs="Calibri"/>
                <w:lang w:eastAsia="en-AU"/>
              </w:rPr>
              <w:t>113.2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11 </w:t>
            </w:r>
            <w:r w:rsidRPr="00BA572A">
              <w:rPr>
                <w:rFonts w:eastAsiaTheme="minorEastAsia" w:cs="Calibri"/>
                <w:lang w:eastAsia="en-AU"/>
              </w:rPr>
              <w:t>058.2</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10 </w:t>
            </w:r>
            <w:r w:rsidRPr="00BA572A">
              <w:rPr>
                <w:rFonts w:eastAsiaTheme="minorEastAsia" w:cs="Calibri"/>
                <w:lang w:eastAsia="en-AU"/>
              </w:rPr>
              <w:t>743.3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11 </w:t>
            </w:r>
            <w:r w:rsidRPr="00BA572A">
              <w:rPr>
                <w:rFonts w:eastAsiaTheme="minorEastAsia" w:cs="Calibri"/>
                <w:lang w:eastAsia="en-AU"/>
              </w:rPr>
              <w:t>591.0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12 </w:t>
            </w:r>
            <w:r w:rsidRPr="00BA572A">
              <w:rPr>
                <w:rFonts w:eastAsiaTheme="minorEastAsia" w:cs="Calibri"/>
                <w:lang w:eastAsia="en-AU"/>
              </w:rPr>
              <w:t>277.7</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Social security and welfare</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894.8</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897.7</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892.6</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912.0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 932.1</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Housing and community amenities</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4 </w:t>
            </w:r>
            <w:r w:rsidRPr="00BA572A">
              <w:rPr>
                <w:rFonts w:eastAsiaTheme="minorEastAsia" w:cs="Calibri"/>
                <w:lang w:eastAsia="en-AU"/>
              </w:rPr>
              <w:t>162.3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4 </w:t>
            </w:r>
            <w:r w:rsidRPr="00BA572A">
              <w:rPr>
                <w:rFonts w:eastAsiaTheme="minorEastAsia" w:cs="Calibri"/>
                <w:lang w:eastAsia="en-AU"/>
              </w:rPr>
              <w:t>151.9</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4 </w:t>
            </w:r>
            <w:r w:rsidRPr="00BA572A">
              <w:rPr>
                <w:rFonts w:eastAsiaTheme="minorEastAsia" w:cs="Calibri"/>
                <w:lang w:eastAsia="en-AU"/>
              </w:rPr>
              <w:t>192.2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4 </w:t>
            </w:r>
            <w:r w:rsidRPr="00BA572A">
              <w:rPr>
                <w:rFonts w:eastAsiaTheme="minorEastAsia" w:cs="Calibri"/>
                <w:lang w:eastAsia="en-AU"/>
              </w:rPr>
              <w:t>308.8</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4 </w:t>
            </w:r>
            <w:r w:rsidRPr="00BA572A">
              <w:rPr>
                <w:rFonts w:eastAsiaTheme="minorEastAsia" w:cs="Calibri"/>
                <w:lang w:eastAsia="en-AU"/>
              </w:rPr>
              <w:t>351.4</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Recreation and culture</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8 </w:t>
            </w:r>
            <w:r w:rsidRPr="00BA572A">
              <w:rPr>
                <w:rFonts w:eastAsiaTheme="minorEastAsia" w:cs="Calibri"/>
                <w:lang w:eastAsia="en-AU"/>
              </w:rPr>
              <w:t>176.6</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8 </w:t>
            </w:r>
            <w:r w:rsidRPr="00BA572A">
              <w:rPr>
                <w:rFonts w:eastAsiaTheme="minorEastAsia" w:cs="Calibri"/>
                <w:lang w:eastAsia="en-AU"/>
              </w:rPr>
              <w:t>140.7</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8 </w:t>
            </w:r>
            <w:r w:rsidRPr="00BA572A">
              <w:rPr>
                <w:rFonts w:eastAsiaTheme="minorEastAsia" w:cs="Calibri"/>
                <w:lang w:eastAsia="en-AU"/>
              </w:rPr>
              <w:t>021.2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8 </w:t>
            </w:r>
            <w:r w:rsidRPr="00BA572A">
              <w:rPr>
                <w:rFonts w:eastAsiaTheme="minorEastAsia" w:cs="Calibri"/>
                <w:lang w:eastAsia="en-AU"/>
              </w:rPr>
              <w:t>093.5</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8 </w:t>
            </w:r>
            <w:r w:rsidRPr="00BA572A">
              <w:rPr>
                <w:rFonts w:eastAsiaTheme="minorEastAsia" w:cs="Calibri"/>
                <w:lang w:eastAsia="en-AU"/>
              </w:rPr>
              <w:t>246.2</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Fuel and energy</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4.6</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4.6</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4.8</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5.2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 5.5</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Agriculture, forestry, fishing, and hunting</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3 </w:t>
            </w:r>
            <w:r w:rsidRPr="00BA572A">
              <w:rPr>
                <w:rFonts w:eastAsiaTheme="minorEastAsia" w:cs="Calibri"/>
                <w:lang w:eastAsia="en-AU"/>
              </w:rPr>
              <w:t>304.3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3 </w:t>
            </w:r>
            <w:r w:rsidRPr="00BA572A">
              <w:rPr>
                <w:rFonts w:eastAsiaTheme="minorEastAsia" w:cs="Calibri"/>
                <w:lang w:eastAsia="en-AU"/>
              </w:rPr>
              <w:t>298.0</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3 </w:t>
            </w:r>
            <w:r w:rsidRPr="00BA572A">
              <w:rPr>
                <w:rFonts w:eastAsiaTheme="minorEastAsia" w:cs="Calibri"/>
                <w:lang w:eastAsia="en-AU"/>
              </w:rPr>
              <w:t>266.0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3 </w:t>
            </w:r>
            <w:r w:rsidRPr="00BA572A">
              <w:rPr>
                <w:rFonts w:eastAsiaTheme="minorEastAsia" w:cs="Calibri"/>
                <w:lang w:eastAsia="en-AU"/>
              </w:rPr>
              <w:t>342.0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3 </w:t>
            </w:r>
            <w:r w:rsidRPr="00BA572A">
              <w:rPr>
                <w:rFonts w:eastAsiaTheme="minorEastAsia" w:cs="Calibri"/>
                <w:lang w:eastAsia="en-AU"/>
              </w:rPr>
              <w:t>319.1</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Transport and communications</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50 </w:t>
            </w:r>
            <w:r w:rsidRPr="00BA572A">
              <w:rPr>
                <w:rFonts w:eastAsiaTheme="minorEastAsia" w:cs="Calibri"/>
                <w:lang w:eastAsia="en-AU"/>
              </w:rPr>
              <w:t>510.0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47 </w:t>
            </w:r>
            <w:r w:rsidRPr="00BA572A">
              <w:rPr>
                <w:rFonts w:eastAsiaTheme="minorEastAsia" w:cs="Calibri"/>
                <w:lang w:eastAsia="en-AU"/>
              </w:rPr>
              <w:t>436.8</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51 </w:t>
            </w:r>
            <w:r w:rsidRPr="00BA572A">
              <w:rPr>
                <w:rFonts w:eastAsiaTheme="minorEastAsia" w:cs="Calibri"/>
                <w:lang w:eastAsia="en-AU"/>
              </w:rPr>
              <w:t>086.0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50 </w:t>
            </w:r>
            <w:r w:rsidRPr="00BA572A">
              <w:rPr>
                <w:rFonts w:eastAsiaTheme="minorEastAsia" w:cs="Calibri"/>
                <w:lang w:eastAsia="en-AU"/>
              </w:rPr>
              <w:t>952.0</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51 </w:t>
            </w:r>
            <w:r w:rsidRPr="00BA572A">
              <w:rPr>
                <w:rFonts w:eastAsiaTheme="minorEastAsia" w:cs="Calibri"/>
                <w:lang w:eastAsia="en-AU"/>
              </w:rPr>
              <w:t>570.1</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Other economic affairs</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958.2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960.3</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951.2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957.2</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 977.2</w:t>
            </w:r>
          </w:p>
        </w:tc>
      </w:tr>
      <w:tr w:rsidR="00F60B5F" w:rsidRPr="00BA572A" w:rsidTr="00BA572A">
        <w:tc>
          <w:tcPr>
            <w:tcW w:w="2987" w:type="dxa"/>
            <w:tcBorders>
              <w:top w:val="nil"/>
              <w:left w:val="nil"/>
              <w:bottom w:val="nil"/>
              <w:right w:val="nil"/>
            </w:tcBorders>
            <w:shd w:val="solid" w:color="FFFFFF" w:fill="auto"/>
          </w:tcPr>
          <w:p w:rsidR="00F60B5F" w:rsidRPr="00BA572A" w:rsidRDefault="00F60B5F" w:rsidP="00BA572A">
            <w:pPr>
              <w:pStyle w:val="Tabletext"/>
              <w:rPr>
                <w:rFonts w:eastAsiaTheme="minorEastAsia"/>
                <w:lang w:eastAsia="en-AU"/>
              </w:rPr>
            </w:pPr>
            <w:r w:rsidRPr="00BA572A">
              <w:rPr>
                <w:rFonts w:eastAsiaTheme="minorEastAsia"/>
                <w:lang w:eastAsia="en-AU"/>
              </w:rPr>
              <w:t xml:space="preserve">Other purposes </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2.4</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2.4</w:t>
            </w:r>
          </w:p>
        </w:tc>
        <w:tc>
          <w:tcPr>
            <w:tcW w:w="954"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 2.3</w:t>
            </w:r>
          </w:p>
        </w:tc>
        <w:tc>
          <w:tcPr>
            <w:tcW w:w="955" w:type="dxa"/>
            <w:tcBorders>
              <w:top w:val="nil"/>
              <w:left w:val="nil"/>
              <w:bottom w:val="nil"/>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 2.3</w:t>
            </w:r>
          </w:p>
        </w:tc>
      </w:tr>
      <w:tr w:rsidR="00F60B5F" w:rsidRPr="00BA572A" w:rsidTr="00BA572A">
        <w:tc>
          <w:tcPr>
            <w:tcW w:w="2987" w:type="dxa"/>
            <w:tcBorders>
              <w:top w:val="nil"/>
              <w:left w:val="nil"/>
              <w:bottom w:val="single" w:sz="6" w:space="0" w:color="auto"/>
              <w:right w:val="nil"/>
            </w:tcBorders>
            <w:shd w:val="solid" w:color="FFFFFF" w:fill="auto"/>
          </w:tcPr>
          <w:p w:rsidR="00F60B5F" w:rsidRPr="00BA572A" w:rsidRDefault="00F60B5F" w:rsidP="00BA572A">
            <w:pPr>
              <w:pStyle w:val="Tabletext"/>
              <w:rPr>
                <w:rFonts w:eastAsiaTheme="minorEastAsia" w:cs="Calibri"/>
                <w:vertAlign w:val="superscript"/>
                <w:lang w:eastAsia="en-AU"/>
              </w:rPr>
            </w:pPr>
            <w:r w:rsidRPr="00BA572A">
              <w:rPr>
                <w:rFonts w:eastAsiaTheme="minorEastAsia"/>
                <w:lang w:eastAsia="en-AU"/>
              </w:rPr>
              <w:t xml:space="preserve">Not allocated by purpose </w:t>
            </w:r>
            <w:r w:rsidRPr="00BA572A">
              <w:rPr>
                <w:rFonts w:eastAsiaTheme="minorEastAsia"/>
                <w:vertAlign w:val="superscript"/>
                <w:lang w:eastAsia="en-AU"/>
              </w:rPr>
              <w:t>(</w:t>
            </w:r>
            <w:r>
              <w:rPr>
                <w:rFonts w:eastAsiaTheme="minorEastAsia" w:cs="Calibri"/>
                <w:vertAlign w:val="superscript"/>
                <w:lang w:eastAsia="en-AU"/>
              </w:rPr>
              <w:t>b</w:t>
            </w:r>
            <w:r w:rsidRPr="00BA572A">
              <w:rPr>
                <w:rFonts w:eastAsiaTheme="minorEastAsia" w:cs="Calibri"/>
                <w:vertAlign w:val="superscript"/>
                <w:lang w:eastAsia="en-AU"/>
              </w:rPr>
              <w:t>)</w:t>
            </w:r>
          </w:p>
        </w:tc>
        <w:tc>
          <w:tcPr>
            <w:tcW w:w="954"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90 </w:t>
            </w:r>
            <w:r w:rsidRPr="00BA572A">
              <w:rPr>
                <w:rFonts w:eastAsiaTheme="minorEastAsia" w:cs="Calibri"/>
                <w:lang w:eastAsia="en-AU"/>
              </w:rPr>
              <w:t>466.1</w:t>
            </w:r>
          </w:p>
        </w:tc>
        <w:tc>
          <w:tcPr>
            <w:tcW w:w="955"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90 </w:t>
            </w:r>
            <w:r w:rsidRPr="00BA572A">
              <w:rPr>
                <w:rFonts w:eastAsiaTheme="minorEastAsia" w:cs="Calibri"/>
                <w:lang w:eastAsia="en-AU"/>
              </w:rPr>
              <w:t>584.2</w:t>
            </w:r>
          </w:p>
        </w:tc>
        <w:tc>
          <w:tcPr>
            <w:tcW w:w="954"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95 </w:t>
            </w:r>
            <w:r w:rsidRPr="00BA572A">
              <w:rPr>
                <w:rFonts w:eastAsiaTheme="minorEastAsia" w:cs="Calibri"/>
                <w:lang w:eastAsia="en-AU"/>
              </w:rPr>
              <w:t>771.0</w:t>
            </w:r>
          </w:p>
        </w:tc>
        <w:tc>
          <w:tcPr>
            <w:tcW w:w="955"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lang w:eastAsia="en-AU"/>
              </w:rPr>
              <w:t xml:space="preserve">97 </w:t>
            </w:r>
            <w:r w:rsidRPr="00BA572A">
              <w:rPr>
                <w:rFonts w:eastAsiaTheme="minorEastAsia" w:cs="Calibri"/>
                <w:lang w:eastAsia="en-AU"/>
              </w:rPr>
              <w:t>665.4</w:t>
            </w:r>
          </w:p>
        </w:tc>
        <w:tc>
          <w:tcPr>
            <w:tcW w:w="955" w:type="dxa"/>
            <w:tcBorders>
              <w:top w:val="nil"/>
              <w:left w:val="nil"/>
              <w:bottom w:val="single" w:sz="6" w:space="0" w:color="auto"/>
              <w:right w:val="nil"/>
            </w:tcBorders>
            <w:shd w:val="solid" w:color="FFFFFF" w:fill="auto"/>
          </w:tcPr>
          <w:p w:rsidR="00F60B5F" w:rsidRPr="00BA572A" w:rsidRDefault="00F60B5F" w:rsidP="00BA572A">
            <w:pPr>
              <w:pStyle w:val="TableofFigures"/>
              <w:rPr>
                <w:rFonts w:eastAsiaTheme="minorEastAsia" w:cs="Calibri"/>
                <w:lang w:eastAsia="en-AU"/>
              </w:rPr>
            </w:pPr>
            <w:r w:rsidRPr="00BA572A">
              <w:rPr>
                <w:rFonts w:eastAsiaTheme="minorEastAsia"/>
                <w:szCs w:val="22"/>
                <w:lang w:eastAsia="en-AU"/>
              </w:rPr>
              <w:t xml:space="preserve">98 </w:t>
            </w:r>
            <w:r w:rsidRPr="00BA572A">
              <w:rPr>
                <w:rFonts w:eastAsiaTheme="minorEastAsia" w:cs="Calibri"/>
                <w:lang w:eastAsia="en-AU"/>
              </w:rPr>
              <w:t>050.0</w:t>
            </w:r>
          </w:p>
        </w:tc>
      </w:tr>
      <w:tr w:rsidR="00F60B5F" w:rsidRPr="00BA572A" w:rsidTr="00BA572A">
        <w:tc>
          <w:tcPr>
            <w:tcW w:w="2987"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text"/>
              <w:rPr>
                <w:rFonts w:eastAsiaTheme="minorEastAsia"/>
                <w:b/>
                <w:bCs/>
                <w:lang w:eastAsia="en-AU"/>
              </w:rPr>
            </w:pPr>
            <w:r w:rsidRPr="00BA572A">
              <w:rPr>
                <w:rFonts w:eastAsiaTheme="minorEastAsia"/>
                <w:b/>
                <w:bCs/>
                <w:lang w:eastAsia="en-AU"/>
              </w:rPr>
              <w:t>Total assets</w:t>
            </w:r>
          </w:p>
        </w:tc>
        <w:tc>
          <w:tcPr>
            <w:tcW w:w="954"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197 </w:t>
            </w:r>
            <w:r w:rsidRPr="00BA572A">
              <w:rPr>
                <w:rFonts w:eastAsiaTheme="minorEastAsia" w:cs="Calibri"/>
                <w:b/>
                <w:bCs/>
                <w:lang w:eastAsia="en-AU"/>
              </w:rPr>
              <w:t>785.5</w:t>
            </w:r>
          </w:p>
        </w:tc>
        <w:tc>
          <w:tcPr>
            <w:tcW w:w="955"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194 </w:t>
            </w:r>
            <w:r w:rsidRPr="00BA572A">
              <w:rPr>
                <w:rFonts w:eastAsiaTheme="minorEastAsia" w:cs="Calibri"/>
                <w:b/>
                <w:bCs/>
                <w:lang w:eastAsia="en-AU"/>
              </w:rPr>
              <w:t>321.0</w:t>
            </w:r>
          </w:p>
        </w:tc>
        <w:tc>
          <w:tcPr>
            <w:tcW w:w="954"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202 </w:t>
            </w:r>
            <w:r w:rsidRPr="00BA572A">
              <w:rPr>
                <w:rFonts w:eastAsiaTheme="minorEastAsia" w:cs="Calibri"/>
                <w:b/>
                <w:bCs/>
                <w:lang w:eastAsia="en-AU"/>
              </w:rPr>
              <w:t>984.6</w:t>
            </w:r>
          </w:p>
        </w:tc>
        <w:tc>
          <w:tcPr>
            <w:tcW w:w="955"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206 </w:t>
            </w:r>
            <w:r w:rsidRPr="00BA572A">
              <w:rPr>
                <w:rFonts w:eastAsiaTheme="minorEastAsia" w:cs="Calibri"/>
                <w:b/>
                <w:bCs/>
                <w:lang w:eastAsia="en-AU"/>
              </w:rPr>
              <w:t>441.2</w:t>
            </w:r>
          </w:p>
        </w:tc>
        <w:tc>
          <w:tcPr>
            <w:tcW w:w="955" w:type="dxa"/>
            <w:tcBorders>
              <w:top w:val="single" w:sz="6" w:space="0" w:color="auto"/>
              <w:left w:val="nil"/>
              <w:bottom w:val="single" w:sz="12" w:space="0" w:color="000000"/>
              <w:right w:val="nil"/>
            </w:tcBorders>
            <w:shd w:val="solid" w:color="FFFFFF" w:fill="auto"/>
          </w:tcPr>
          <w:p w:rsidR="00F60B5F" w:rsidRPr="00BA572A" w:rsidRDefault="00F60B5F" w:rsidP="00BA572A">
            <w:pPr>
              <w:pStyle w:val="TableofFigures"/>
              <w:rPr>
                <w:rFonts w:eastAsiaTheme="minorEastAsia" w:cs="Calibri"/>
                <w:b/>
                <w:bCs/>
                <w:lang w:eastAsia="en-AU"/>
              </w:rPr>
            </w:pPr>
            <w:r w:rsidRPr="00BA572A">
              <w:rPr>
                <w:rFonts w:eastAsiaTheme="minorEastAsia"/>
                <w:b/>
                <w:bCs/>
                <w:lang w:eastAsia="en-AU"/>
              </w:rPr>
              <w:t xml:space="preserve">209 </w:t>
            </w:r>
            <w:r w:rsidRPr="00BA572A">
              <w:rPr>
                <w:rFonts w:eastAsiaTheme="minorEastAsia" w:cs="Calibri"/>
                <w:b/>
                <w:bCs/>
                <w:lang w:eastAsia="en-AU"/>
              </w:rPr>
              <w:t>829.4</w:t>
            </w:r>
          </w:p>
        </w:tc>
      </w:tr>
    </w:tbl>
    <w:p w:rsidR="00F60B5F" w:rsidRPr="00B56B1C" w:rsidRDefault="00F60B5F" w:rsidP="003112E2">
      <w:pPr>
        <w:pStyle w:val="Notes"/>
      </w:pPr>
      <w:r w:rsidRPr="00B56B1C">
        <w:t>Note</w:t>
      </w:r>
      <w:r>
        <w:t>s</w:t>
      </w:r>
      <w:r w:rsidRPr="00B56B1C">
        <w:t>:</w:t>
      </w:r>
    </w:p>
    <w:p w:rsidR="00F60B5F" w:rsidRDefault="00F60B5F" w:rsidP="0093525C">
      <w:pPr>
        <w:pStyle w:val="Notes"/>
      </w:pPr>
      <w:r w:rsidRPr="00B56B1C">
        <w:t xml:space="preserve">(a) </w:t>
      </w:r>
      <w:r w:rsidRPr="00B56B1C">
        <w:tab/>
      </w:r>
      <w:r w:rsidRPr="00B56B1C">
        <w:tab/>
      </w:r>
      <w:r>
        <w:t xml:space="preserve">Several previously published allocations have been restated reflecting the refinement of allocation methodology. </w:t>
      </w:r>
    </w:p>
    <w:p w:rsidR="00F60B5F" w:rsidRPr="00B56B1C" w:rsidRDefault="00F60B5F" w:rsidP="003112E2">
      <w:pPr>
        <w:pStyle w:val="Notes"/>
      </w:pPr>
      <w:r>
        <w:t>(b)</w:t>
      </w:r>
      <w:r>
        <w:tab/>
        <w:t>Represents financial assets which are not able to be allocated by purpose. This mainly includes balances relating to the general government sector’s investment in other sector entities.</w:t>
      </w:r>
    </w:p>
    <w:p w:rsidR="00F60B5F" w:rsidRPr="00B56B1C" w:rsidRDefault="00F60B5F" w:rsidP="006A2056"/>
    <w:p w:rsidR="00F60B5F" w:rsidRPr="00B56B1C" w:rsidRDefault="00F60B5F" w:rsidP="006A2056"/>
    <w:p w:rsidR="00F60B5F" w:rsidRPr="00B56B1C" w:rsidRDefault="00F60B5F" w:rsidP="008F270C">
      <w:pPr>
        <w:pStyle w:val="Heading2Notes"/>
      </w:pPr>
      <w:bookmarkStart w:id="45" w:name="_Toc373751826"/>
      <w:r w:rsidRPr="00B56B1C">
        <w:t>Note 20:</w:t>
      </w:r>
      <w:r w:rsidRPr="00B56B1C">
        <w:tab/>
        <w:t>Borrowings</w:t>
      </w:r>
      <w:bookmarkEnd w:id="45"/>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820AF8" w:rsidTr="00820AF8">
        <w:tc>
          <w:tcPr>
            <w:tcW w:w="2790"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lang w:eastAsia="en-AU"/>
              </w:rPr>
            </w:pP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b/>
                <w:iCs/>
                <w:lang w:eastAsia="en-AU"/>
              </w:rPr>
            </w:pPr>
            <w:r w:rsidRPr="00820AF8">
              <w:rPr>
                <w:rFonts w:eastAsiaTheme="minorEastAsia"/>
                <w:b/>
                <w:iCs/>
                <w:lang w:eastAsia="en-AU"/>
              </w:rPr>
              <w:t>2013</w:t>
            </w:r>
            <w:r>
              <w:rPr>
                <w:rFonts w:eastAsiaTheme="minorEastAsia"/>
                <w:b/>
                <w:iCs/>
                <w:lang w:eastAsia="en-AU"/>
              </w:rPr>
              <w:noBreakHyphen/>
            </w:r>
            <w:r w:rsidRPr="00820AF8">
              <w:rPr>
                <w:rFonts w:eastAsiaTheme="minorEastAsia"/>
                <w:b/>
                <w:iCs/>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2013</w:t>
            </w:r>
            <w:r>
              <w:rPr>
                <w:rFonts w:eastAsiaTheme="minorEastAsia"/>
                <w:iCs/>
                <w:lang w:eastAsia="en-AU"/>
              </w:rPr>
              <w:noBreakHyphen/>
            </w:r>
            <w:r w:rsidRPr="00820AF8">
              <w:rPr>
                <w:rFonts w:eastAsiaTheme="minorEastAsia"/>
                <w:iCs/>
                <w:lang w:eastAsia="en-AU"/>
              </w:rPr>
              <w:t>14</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2014</w:t>
            </w:r>
            <w:r>
              <w:rPr>
                <w:rFonts w:eastAsiaTheme="minorEastAsia"/>
                <w:iCs/>
                <w:lang w:eastAsia="en-AU"/>
              </w:rPr>
              <w:noBreakHyphen/>
            </w:r>
            <w:r w:rsidRPr="00820AF8">
              <w:rPr>
                <w:rFonts w:eastAsiaTheme="minorEastAsia"/>
                <w:iCs/>
                <w:lang w:eastAsia="en-AU"/>
              </w:rPr>
              <w:t>15</w:t>
            </w:r>
          </w:p>
        </w:tc>
        <w:tc>
          <w:tcPr>
            <w:tcW w:w="994"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2015</w:t>
            </w:r>
            <w:r>
              <w:rPr>
                <w:rFonts w:eastAsiaTheme="minorEastAsia"/>
                <w:iCs/>
                <w:lang w:eastAsia="en-AU"/>
              </w:rPr>
              <w:noBreakHyphen/>
            </w:r>
            <w:r w:rsidRPr="00820AF8">
              <w:rPr>
                <w:rFonts w:eastAsiaTheme="minorEastAsia"/>
                <w:iCs/>
                <w:lang w:eastAsia="en-AU"/>
              </w:rPr>
              <w:t>16</w:t>
            </w:r>
          </w:p>
        </w:tc>
        <w:tc>
          <w:tcPr>
            <w:tcW w:w="994"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2016</w:t>
            </w:r>
            <w:r>
              <w:rPr>
                <w:rFonts w:eastAsiaTheme="minorEastAsia"/>
                <w:iCs/>
                <w:lang w:eastAsia="en-AU"/>
              </w:rPr>
              <w:noBreakHyphen/>
            </w:r>
            <w:r w:rsidRPr="00820AF8">
              <w:rPr>
                <w:rFonts w:eastAsiaTheme="minorEastAsia"/>
                <w:iCs/>
                <w:lang w:eastAsia="en-AU"/>
              </w:rPr>
              <w:t>17</w:t>
            </w:r>
          </w:p>
        </w:tc>
      </w:tr>
      <w:tr w:rsidR="00F60B5F" w:rsidRPr="00820AF8" w:rsidTr="00820AF8">
        <w:tc>
          <w:tcPr>
            <w:tcW w:w="2790"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b/>
                <w:iCs/>
                <w:lang w:eastAsia="en-AU"/>
              </w:rPr>
            </w:pPr>
            <w:r w:rsidRPr="00820AF8">
              <w:rPr>
                <w:rFonts w:eastAsiaTheme="minorEastAsia"/>
                <w:b/>
                <w:iCs/>
                <w:lang w:eastAsia="en-AU"/>
              </w:rPr>
              <w:t>Budget</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Revised</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c>
          <w:tcPr>
            <w:tcW w:w="994"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c>
          <w:tcPr>
            <w:tcW w:w="994"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r>
      <w:tr w:rsidR="00F60B5F" w:rsidRPr="00820AF8" w:rsidTr="00820AF8">
        <w:tc>
          <w:tcPr>
            <w:tcW w:w="2790" w:type="dxa"/>
            <w:tcBorders>
              <w:top w:val="single" w:sz="6" w:space="0" w:color="000000"/>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Current borrowings</w:t>
            </w: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b/>
                <w:lang w:eastAsia="en-AU"/>
              </w:rPr>
            </w:pP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p>
        </w:tc>
        <w:tc>
          <w:tcPr>
            <w:tcW w:w="994"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Domestic borrowings</w:t>
            </w:r>
          </w:p>
        </w:tc>
        <w:tc>
          <w:tcPr>
            <w:tcW w:w="994" w:type="dxa"/>
            <w:tcBorders>
              <w:top w:val="nil"/>
              <w:left w:val="nil"/>
              <w:bottom w:val="nil"/>
              <w:right w:val="nil"/>
            </w:tcBorders>
          </w:tcPr>
          <w:p w:rsidR="00F60B5F" w:rsidRPr="00820AF8" w:rsidRDefault="00F60B5F" w:rsidP="00820AF8">
            <w:pPr>
              <w:pStyle w:val="TableofFigures"/>
              <w:rPr>
                <w:rFonts w:eastAsiaTheme="minorEastAsia"/>
                <w:b/>
                <w:lang w:eastAsia="en-AU"/>
              </w:rPr>
            </w:pPr>
            <w:r w:rsidRPr="00820AF8">
              <w:rPr>
                <w:rFonts w:eastAsiaTheme="minorEastAsia"/>
                <w:b/>
                <w:lang w:eastAsia="en-AU"/>
              </w:rPr>
              <w:t>2 602.8</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2 635.9</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2 640.9</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2 645.9</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2 650.9</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Finance lease liabilities</w:t>
            </w:r>
          </w:p>
        </w:tc>
        <w:tc>
          <w:tcPr>
            <w:tcW w:w="994" w:type="dxa"/>
            <w:tcBorders>
              <w:top w:val="nil"/>
              <w:left w:val="nil"/>
              <w:bottom w:val="nil"/>
              <w:right w:val="nil"/>
            </w:tcBorders>
          </w:tcPr>
          <w:p w:rsidR="00F60B5F" w:rsidRPr="00820AF8" w:rsidRDefault="00F60B5F" w:rsidP="00820AF8">
            <w:pPr>
              <w:pStyle w:val="TableofFigures"/>
              <w:rPr>
                <w:rFonts w:eastAsiaTheme="minorEastAsia"/>
                <w:b/>
                <w:lang w:eastAsia="en-AU"/>
              </w:rPr>
            </w:pPr>
            <w:r w:rsidRPr="00820AF8">
              <w:rPr>
                <w:rFonts w:eastAsiaTheme="minorEastAsia"/>
                <w:b/>
                <w:lang w:eastAsia="en-AU"/>
              </w:rPr>
              <w:t xml:space="preserve"> 98.0</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98.4</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123.3</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145.8</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172.9</w:t>
            </w:r>
          </w:p>
        </w:tc>
      </w:tr>
      <w:tr w:rsidR="00F60B5F" w:rsidRPr="00820AF8" w:rsidTr="00820AF8">
        <w:tc>
          <w:tcPr>
            <w:tcW w:w="2790" w:type="dxa"/>
            <w:tcBorders>
              <w:top w:val="single" w:sz="6" w:space="0" w:color="auto"/>
              <w:left w:val="nil"/>
              <w:bottom w:val="nil"/>
              <w:right w:val="nil"/>
            </w:tcBorders>
          </w:tcPr>
          <w:p w:rsidR="00F60B5F" w:rsidRPr="00820AF8" w:rsidRDefault="00F60B5F" w:rsidP="00820AF8">
            <w:pPr>
              <w:pStyle w:val="Tabletext"/>
              <w:rPr>
                <w:rFonts w:eastAsiaTheme="minorEastAsia" w:cs="Calibri"/>
                <w:b/>
                <w:bCs/>
                <w:szCs w:val="22"/>
                <w:lang w:eastAsia="en-AU"/>
              </w:rPr>
            </w:pPr>
            <w:r w:rsidRPr="00820AF8">
              <w:rPr>
                <w:rFonts w:eastAsiaTheme="minorEastAsia"/>
                <w:b/>
                <w:bCs/>
                <w:lang w:eastAsia="en-AU"/>
              </w:rPr>
              <w:t xml:space="preserve">Total current </w:t>
            </w:r>
            <w:r w:rsidRPr="00820AF8">
              <w:rPr>
                <w:rFonts w:eastAsiaTheme="minorEastAsia" w:cs="Calibri"/>
                <w:b/>
                <w:bCs/>
                <w:szCs w:val="22"/>
                <w:lang w:eastAsia="en-AU"/>
              </w:rPr>
              <w:t>borrowings</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2 700.8</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2 734.3</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2 764.3</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2 791.7</w:t>
            </w:r>
          </w:p>
        </w:tc>
        <w:tc>
          <w:tcPr>
            <w:tcW w:w="994" w:type="dxa"/>
            <w:tcBorders>
              <w:top w:val="single" w:sz="6" w:space="0" w:color="auto"/>
              <w:left w:val="nil"/>
              <w:bottom w:val="nil"/>
              <w:right w:val="nil"/>
            </w:tcBorders>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2 823.9</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Non</w:t>
            </w:r>
            <w:r>
              <w:rPr>
                <w:rFonts w:eastAsiaTheme="minorEastAsia"/>
                <w:b/>
                <w:bCs/>
                <w:lang w:eastAsia="en-AU"/>
              </w:rPr>
              <w:noBreakHyphen/>
            </w:r>
            <w:r w:rsidRPr="00820AF8">
              <w:rPr>
                <w:rFonts w:eastAsiaTheme="minorEastAsia"/>
                <w:b/>
                <w:bCs/>
                <w:lang w:eastAsia="en-AU"/>
              </w:rPr>
              <w:t>current borrowings</w:t>
            </w:r>
          </w:p>
        </w:tc>
        <w:tc>
          <w:tcPr>
            <w:tcW w:w="99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p>
        </w:tc>
        <w:tc>
          <w:tcPr>
            <w:tcW w:w="99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p>
        </w:tc>
        <w:tc>
          <w:tcPr>
            <w:tcW w:w="99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p>
        </w:tc>
        <w:tc>
          <w:tcPr>
            <w:tcW w:w="99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p>
        </w:tc>
        <w:tc>
          <w:tcPr>
            <w:tcW w:w="994" w:type="dxa"/>
            <w:tcBorders>
              <w:top w:val="nil"/>
              <w:left w:val="nil"/>
              <w:bottom w:val="nil"/>
              <w:right w:val="nil"/>
            </w:tcBorders>
          </w:tcPr>
          <w:p w:rsidR="00F60B5F" w:rsidRPr="00820AF8" w:rsidRDefault="00F60B5F" w:rsidP="00820AF8">
            <w:pPr>
              <w:pStyle w:val="TableofFigures"/>
              <w:rPr>
                <w:rFonts w:eastAsiaTheme="minorEastAsia"/>
                <w:b/>
                <w:bCs/>
                <w:lang w:eastAsia="en-AU"/>
              </w:rPr>
            </w:pP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Domestic borrowings</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b/>
                <w:szCs w:val="22"/>
                <w:lang w:eastAsia="en-AU"/>
              </w:rPr>
            </w:pPr>
            <w:r w:rsidRPr="00820AF8">
              <w:rPr>
                <w:rFonts w:eastAsiaTheme="minorEastAsia"/>
                <w:b/>
                <w:lang w:eastAsia="en-AU"/>
              </w:rPr>
              <w:t>24 211.9</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23 617.6</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26 056.8</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24 634.5</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23 811.5</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Finance lease liabilities</w:t>
            </w:r>
          </w:p>
        </w:tc>
        <w:tc>
          <w:tcPr>
            <w:tcW w:w="994" w:type="dxa"/>
            <w:tcBorders>
              <w:top w:val="nil"/>
              <w:left w:val="nil"/>
              <w:bottom w:val="nil"/>
              <w:right w:val="nil"/>
            </w:tcBorders>
          </w:tcPr>
          <w:p w:rsidR="00F60B5F" w:rsidRPr="00820AF8" w:rsidRDefault="00F60B5F" w:rsidP="00820AF8">
            <w:pPr>
              <w:pStyle w:val="TableofFigures"/>
              <w:rPr>
                <w:rFonts w:eastAsiaTheme="minorEastAsia"/>
                <w:b/>
                <w:lang w:eastAsia="en-AU"/>
              </w:rPr>
            </w:pPr>
            <w:r w:rsidRPr="00820AF8">
              <w:rPr>
                <w:rFonts w:eastAsiaTheme="minorEastAsia"/>
                <w:b/>
                <w:lang w:eastAsia="en-AU"/>
              </w:rPr>
              <w:t>7 789.6</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7 889.7</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7 743.8</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8 614.7</w:t>
            </w:r>
          </w:p>
        </w:tc>
        <w:tc>
          <w:tcPr>
            <w:tcW w:w="994"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8 726.8</w:t>
            </w:r>
          </w:p>
        </w:tc>
      </w:tr>
      <w:tr w:rsidR="00F60B5F" w:rsidRPr="00820AF8" w:rsidTr="00820AF8">
        <w:tc>
          <w:tcPr>
            <w:tcW w:w="2790" w:type="dxa"/>
            <w:tcBorders>
              <w:top w:val="nil"/>
              <w:left w:val="nil"/>
              <w:bottom w:val="nil"/>
              <w:right w:val="nil"/>
            </w:tcBorders>
          </w:tcPr>
          <w:p w:rsidR="00F60B5F" w:rsidRPr="00820AF8" w:rsidRDefault="00F60B5F" w:rsidP="00820AF8">
            <w:pPr>
              <w:pStyle w:val="Tabletext"/>
              <w:rPr>
                <w:rFonts w:eastAsiaTheme="minorEastAsia" w:cs="Calibri"/>
                <w:szCs w:val="22"/>
                <w:lang w:eastAsia="en-AU"/>
              </w:rPr>
            </w:pPr>
            <w:r w:rsidRPr="00820AF8">
              <w:rPr>
                <w:rFonts w:eastAsiaTheme="minorEastAsia"/>
                <w:lang w:eastAsia="en-AU"/>
              </w:rPr>
              <w:t xml:space="preserve">Derivative financial </w:t>
            </w:r>
            <w:r w:rsidRPr="00820AF8">
              <w:rPr>
                <w:rFonts w:eastAsiaTheme="minorEastAsia" w:cs="Calibri"/>
                <w:szCs w:val="22"/>
                <w:lang w:eastAsia="en-AU"/>
              </w:rPr>
              <w:t>instruments</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b/>
                <w:szCs w:val="22"/>
                <w:lang w:eastAsia="en-AU"/>
              </w:rPr>
            </w:pPr>
            <w:r w:rsidRPr="00820AF8">
              <w:rPr>
                <w:rFonts w:eastAsiaTheme="minorEastAsia"/>
                <w:b/>
                <w:lang w:eastAsia="en-AU"/>
              </w:rPr>
              <w:t xml:space="preserve"> </w:t>
            </w:r>
            <w:r w:rsidRPr="00820AF8">
              <w:rPr>
                <w:rFonts w:eastAsiaTheme="minorEastAsia" w:cs="Calibri"/>
                <w:b/>
                <w:szCs w:val="22"/>
                <w:lang w:eastAsia="en-AU"/>
              </w:rPr>
              <w:t>9.0</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9.0</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9.0</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9.0</w:t>
            </w:r>
          </w:p>
        </w:tc>
        <w:tc>
          <w:tcPr>
            <w:tcW w:w="994" w:type="dxa"/>
            <w:tcBorders>
              <w:top w:val="nil"/>
              <w:left w:val="nil"/>
              <w:bottom w:val="nil"/>
              <w:right w:val="nil"/>
            </w:tcBorders>
          </w:tcPr>
          <w:p w:rsidR="00F60B5F" w:rsidRPr="00820AF8" w:rsidRDefault="00F60B5F" w:rsidP="00820AF8">
            <w:pPr>
              <w:pStyle w:val="TableofFigures"/>
              <w:rPr>
                <w:rFonts w:eastAsiaTheme="minorEastAsia" w:cs="Calibri"/>
                <w:szCs w:val="22"/>
                <w:lang w:eastAsia="en-AU"/>
              </w:rPr>
            </w:pPr>
            <w:r w:rsidRPr="00820AF8">
              <w:rPr>
                <w:rFonts w:eastAsiaTheme="minorEastAsia"/>
                <w:lang w:eastAsia="en-AU"/>
              </w:rPr>
              <w:t xml:space="preserve"> </w:t>
            </w:r>
            <w:r w:rsidRPr="00820AF8">
              <w:rPr>
                <w:rFonts w:eastAsiaTheme="minorEastAsia" w:cs="Calibri"/>
                <w:szCs w:val="22"/>
                <w:lang w:eastAsia="en-AU"/>
              </w:rPr>
              <w:t>9.0</w:t>
            </w:r>
          </w:p>
        </w:tc>
      </w:tr>
      <w:tr w:rsidR="00F60B5F" w:rsidRPr="00820AF8" w:rsidTr="00820AF8">
        <w:tc>
          <w:tcPr>
            <w:tcW w:w="2790" w:type="dxa"/>
            <w:tcBorders>
              <w:top w:val="single" w:sz="6" w:space="0" w:color="auto"/>
              <w:left w:val="nil"/>
              <w:bottom w:val="single" w:sz="6" w:space="0" w:color="auto"/>
              <w:right w:val="nil"/>
            </w:tcBorders>
          </w:tcPr>
          <w:p w:rsidR="00F60B5F" w:rsidRPr="00820AF8" w:rsidRDefault="00F60B5F" w:rsidP="00820AF8">
            <w:pPr>
              <w:pStyle w:val="Tabletext"/>
              <w:rPr>
                <w:rFonts w:eastAsiaTheme="minorEastAsia" w:cs="Calibri"/>
                <w:b/>
                <w:bCs/>
                <w:szCs w:val="22"/>
                <w:lang w:eastAsia="en-AU"/>
              </w:rPr>
            </w:pPr>
            <w:r w:rsidRPr="00820AF8">
              <w:rPr>
                <w:rFonts w:eastAsiaTheme="minorEastAsia"/>
                <w:b/>
                <w:bCs/>
                <w:lang w:eastAsia="en-AU"/>
              </w:rPr>
              <w:t>Total non</w:t>
            </w:r>
            <w:r>
              <w:rPr>
                <w:rFonts w:eastAsiaTheme="minorEastAsia"/>
                <w:b/>
                <w:bCs/>
                <w:lang w:eastAsia="en-AU"/>
              </w:rPr>
              <w:noBreakHyphen/>
            </w:r>
            <w:r w:rsidRPr="00820AF8">
              <w:rPr>
                <w:rFonts w:eastAsiaTheme="minorEastAsia"/>
                <w:b/>
                <w:bCs/>
                <w:lang w:eastAsia="en-AU"/>
              </w:rPr>
              <w:t xml:space="preserve">current </w:t>
            </w:r>
            <w:r w:rsidRPr="00820AF8">
              <w:rPr>
                <w:rFonts w:eastAsiaTheme="minorEastAsia" w:cs="Calibri"/>
                <w:b/>
                <w:bCs/>
                <w:szCs w:val="22"/>
                <w:lang w:eastAsia="en-AU"/>
              </w:rPr>
              <w:t>borrowings</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32 010.5</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31 516.4</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33 809.7</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33 258.3</w:t>
            </w:r>
          </w:p>
        </w:tc>
        <w:tc>
          <w:tcPr>
            <w:tcW w:w="994" w:type="dxa"/>
            <w:tcBorders>
              <w:top w:val="single" w:sz="6"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32 547.4</w:t>
            </w:r>
          </w:p>
        </w:tc>
      </w:tr>
      <w:tr w:rsidR="00F60B5F" w:rsidRPr="00820AF8" w:rsidTr="00820AF8">
        <w:tc>
          <w:tcPr>
            <w:tcW w:w="2790"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borrowings</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34 711.3</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34 250.7</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36 573.9</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36 050.0</w:t>
            </w:r>
          </w:p>
        </w:tc>
        <w:tc>
          <w:tcPr>
            <w:tcW w:w="994"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35 371.2</w:t>
            </w:r>
          </w:p>
        </w:tc>
      </w:tr>
    </w:tbl>
    <w:p w:rsidR="00F60B5F" w:rsidRPr="00B56B1C" w:rsidRDefault="00F60B5F" w:rsidP="00172054"/>
    <w:p w:rsidR="00F60B5F" w:rsidRPr="00B56B1C" w:rsidRDefault="00F60B5F" w:rsidP="006A2056"/>
    <w:p w:rsidR="00F60B5F" w:rsidRPr="00B56B1C" w:rsidRDefault="00F60B5F">
      <w:pPr>
        <w:spacing w:after="0"/>
        <w:rPr>
          <w:rFonts w:ascii="Calibri" w:hAnsi="Calibri"/>
          <w:b/>
          <w:kern w:val="28"/>
          <w:sz w:val="26"/>
          <w:szCs w:val="22"/>
        </w:rPr>
      </w:pPr>
      <w:r w:rsidRPr="00B56B1C">
        <w:br w:type="page"/>
      </w:r>
    </w:p>
    <w:p w:rsidR="00F60B5F" w:rsidRPr="00B56B1C" w:rsidRDefault="00F60B5F" w:rsidP="00C54DC6">
      <w:pPr>
        <w:pStyle w:val="Heading2Notes"/>
      </w:pPr>
      <w:bookmarkStart w:id="46" w:name="_Toc373751827"/>
      <w:r w:rsidRPr="00B56B1C">
        <w:t>Note 21:</w:t>
      </w:r>
      <w:r w:rsidRPr="00B56B1C">
        <w:tab/>
        <w:t>Employee benefits</w:t>
      </w:r>
      <w:bookmarkEnd w:id="46"/>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3065"/>
        <w:gridCol w:w="213"/>
        <w:gridCol w:w="726"/>
        <w:gridCol w:w="939"/>
        <w:gridCol w:w="939"/>
        <w:gridCol w:w="939"/>
        <w:gridCol w:w="939"/>
      </w:tblGrid>
      <w:tr w:rsidR="00F60B5F" w:rsidRPr="00820AF8" w:rsidTr="00820AF8">
        <w:tc>
          <w:tcPr>
            <w:tcW w:w="3065"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
              <w:rPr>
                <w:rFonts w:eastAsiaTheme="minorEastAsia"/>
                <w:lang w:eastAsia="en-AU"/>
              </w:rPr>
            </w:pPr>
            <w:r w:rsidRPr="00820AF8">
              <w:rPr>
                <w:rFonts w:eastAsiaTheme="minorEastAsia"/>
                <w:lang w:eastAsia="en-AU"/>
              </w:rPr>
              <w:t xml:space="preserve"> </w:t>
            </w:r>
          </w:p>
        </w:tc>
        <w:tc>
          <w:tcPr>
            <w:tcW w:w="939" w:type="dxa"/>
            <w:gridSpan w:val="2"/>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39"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2013</w:t>
            </w:r>
            <w:r>
              <w:rPr>
                <w:rFonts w:eastAsiaTheme="minorEastAsia"/>
                <w:iCs/>
                <w:color w:val="FFFFFF"/>
                <w:lang w:eastAsia="en-AU"/>
              </w:rPr>
              <w:noBreakHyphen/>
            </w:r>
            <w:r w:rsidRPr="00820AF8">
              <w:rPr>
                <w:rFonts w:eastAsiaTheme="minorEastAsia"/>
                <w:iCs/>
                <w:color w:val="FFFFFF"/>
                <w:lang w:eastAsia="en-AU"/>
              </w:rPr>
              <w:t>14</w:t>
            </w:r>
          </w:p>
        </w:tc>
        <w:tc>
          <w:tcPr>
            <w:tcW w:w="939"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2014</w:t>
            </w:r>
            <w:r>
              <w:rPr>
                <w:rFonts w:eastAsiaTheme="minorEastAsia"/>
                <w:iCs/>
                <w:color w:val="FFFFFF"/>
                <w:lang w:eastAsia="en-AU"/>
              </w:rPr>
              <w:noBreakHyphen/>
            </w:r>
            <w:r w:rsidRPr="00820AF8">
              <w:rPr>
                <w:rFonts w:eastAsiaTheme="minorEastAsia"/>
                <w:iCs/>
                <w:color w:val="FFFFFF"/>
                <w:lang w:eastAsia="en-AU"/>
              </w:rPr>
              <w:t>15</w:t>
            </w:r>
          </w:p>
        </w:tc>
        <w:tc>
          <w:tcPr>
            <w:tcW w:w="939"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2015</w:t>
            </w:r>
            <w:r>
              <w:rPr>
                <w:rFonts w:eastAsiaTheme="minorEastAsia"/>
                <w:iCs/>
                <w:color w:val="FFFFFF"/>
                <w:lang w:eastAsia="en-AU"/>
              </w:rPr>
              <w:noBreakHyphen/>
            </w:r>
            <w:r w:rsidRPr="00820AF8">
              <w:rPr>
                <w:rFonts w:eastAsiaTheme="minorEastAsia"/>
                <w:iCs/>
                <w:color w:val="FFFFFF"/>
                <w:lang w:eastAsia="en-AU"/>
              </w:rPr>
              <w:t>16</w:t>
            </w:r>
          </w:p>
        </w:tc>
        <w:tc>
          <w:tcPr>
            <w:tcW w:w="939"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2016</w:t>
            </w:r>
            <w:r>
              <w:rPr>
                <w:rFonts w:eastAsiaTheme="minorEastAsia"/>
                <w:iCs/>
                <w:color w:val="FFFFFF"/>
                <w:lang w:eastAsia="en-AU"/>
              </w:rPr>
              <w:noBreakHyphen/>
            </w:r>
            <w:r w:rsidRPr="00820AF8">
              <w:rPr>
                <w:rFonts w:eastAsiaTheme="minorEastAsia"/>
                <w:iCs/>
                <w:color w:val="FFFFFF"/>
                <w:lang w:eastAsia="en-AU"/>
              </w:rPr>
              <w:t>17</w:t>
            </w:r>
          </w:p>
        </w:tc>
      </w:tr>
      <w:tr w:rsidR="00F60B5F" w:rsidRPr="00820AF8" w:rsidTr="00820AF8">
        <w:tc>
          <w:tcPr>
            <w:tcW w:w="3065"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
              <w:rPr>
                <w:rFonts w:eastAsiaTheme="minorEastAsia"/>
                <w:lang w:eastAsia="en-AU"/>
              </w:rPr>
            </w:pPr>
            <w:r w:rsidRPr="00820AF8">
              <w:rPr>
                <w:rFonts w:eastAsiaTheme="minorEastAsia"/>
                <w:lang w:eastAsia="en-AU"/>
              </w:rPr>
              <w:t xml:space="preserve"> </w:t>
            </w:r>
          </w:p>
        </w:tc>
        <w:tc>
          <w:tcPr>
            <w:tcW w:w="939" w:type="dxa"/>
            <w:gridSpan w:val="2"/>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Budget</w:t>
            </w:r>
          </w:p>
        </w:tc>
        <w:tc>
          <w:tcPr>
            <w:tcW w:w="939"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Revised</w:t>
            </w:r>
          </w:p>
        </w:tc>
        <w:tc>
          <w:tcPr>
            <w:tcW w:w="939"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39"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c>
          <w:tcPr>
            <w:tcW w:w="939"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color w:val="FFFFFF"/>
                <w:lang w:eastAsia="en-AU"/>
              </w:rPr>
            </w:pPr>
            <w:r w:rsidRPr="00820AF8">
              <w:rPr>
                <w:rFonts w:eastAsiaTheme="minorEastAsia"/>
                <w:iCs/>
                <w:color w:val="FFFFFF"/>
                <w:lang w:eastAsia="en-AU"/>
              </w:rPr>
              <w:t>Estimate</w:t>
            </w:r>
          </w:p>
        </w:tc>
      </w:tr>
      <w:tr w:rsidR="00F60B5F" w:rsidRPr="00820AF8" w:rsidTr="00820AF8">
        <w:tc>
          <w:tcPr>
            <w:tcW w:w="3065" w:type="dxa"/>
            <w:tcBorders>
              <w:top w:val="single" w:sz="6" w:space="0" w:color="000000"/>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Current</w:t>
            </w:r>
          </w:p>
        </w:tc>
        <w:tc>
          <w:tcPr>
            <w:tcW w:w="939" w:type="dxa"/>
            <w:gridSpan w:val="2"/>
            <w:tcBorders>
              <w:top w:val="single" w:sz="6" w:space="0" w:color="000000"/>
              <w:left w:val="nil"/>
              <w:bottom w:val="nil"/>
              <w:right w:val="nil"/>
            </w:tcBorders>
          </w:tcPr>
          <w:p w:rsidR="00F60B5F" w:rsidRPr="00820AF8" w:rsidRDefault="00F60B5F" w:rsidP="00820AF8">
            <w:pPr>
              <w:pStyle w:val="TableofFigures"/>
              <w:rPr>
                <w:rFonts w:eastAsiaTheme="minorEastAsia"/>
                <w:b/>
                <w:bCs/>
                <w:lang w:eastAsia="en-AU"/>
              </w:rPr>
            </w:pPr>
          </w:p>
        </w:tc>
        <w:tc>
          <w:tcPr>
            <w:tcW w:w="939" w:type="dxa"/>
            <w:tcBorders>
              <w:top w:val="single" w:sz="6" w:space="0" w:color="000000"/>
              <w:left w:val="nil"/>
              <w:bottom w:val="nil"/>
              <w:right w:val="nil"/>
            </w:tcBorders>
          </w:tcPr>
          <w:p w:rsidR="00F60B5F" w:rsidRPr="00820AF8" w:rsidRDefault="00F60B5F" w:rsidP="00820AF8">
            <w:pPr>
              <w:pStyle w:val="TableofFigures"/>
              <w:rPr>
                <w:rFonts w:eastAsiaTheme="minorEastAsia"/>
                <w:b/>
                <w:lang w:eastAsia="en-AU"/>
              </w:rPr>
            </w:pPr>
          </w:p>
        </w:tc>
        <w:tc>
          <w:tcPr>
            <w:tcW w:w="939" w:type="dxa"/>
            <w:tcBorders>
              <w:top w:val="single" w:sz="6" w:space="0" w:color="000000"/>
              <w:left w:val="nil"/>
              <w:bottom w:val="nil"/>
              <w:right w:val="nil"/>
            </w:tcBorders>
          </w:tcPr>
          <w:p w:rsidR="00F60B5F" w:rsidRPr="00820AF8" w:rsidRDefault="00F60B5F" w:rsidP="00820AF8">
            <w:pPr>
              <w:pStyle w:val="TableofFigures"/>
              <w:rPr>
                <w:rFonts w:eastAsiaTheme="minorEastAsia"/>
                <w:b/>
                <w:lang w:eastAsia="en-AU"/>
              </w:rPr>
            </w:pPr>
          </w:p>
        </w:tc>
        <w:tc>
          <w:tcPr>
            <w:tcW w:w="939" w:type="dxa"/>
            <w:tcBorders>
              <w:top w:val="single" w:sz="6" w:space="0" w:color="000000"/>
              <w:left w:val="nil"/>
              <w:bottom w:val="nil"/>
              <w:right w:val="nil"/>
            </w:tcBorders>
          </w:tcPr>
          <w:p w:rsidR="00F60B5F" w:rsidRPr="00820AF8" w:rsidRDefault="00F60B5F" w:rsidP="00820AF8">
            <w:pPr>
              <w:pStyle w:val="TableofFigures"/>
              <w:rPr>
                <w:rFonts w:eastAsiaTheme="minorEastAsia"/>
                <w:b/>
                <w:lang w:eastAsia="en-AU"/>
              </w:rPr>
            </w:pPr>
          </w:p>
        </w:tc>
        <w:tc>
          <w:tcPr>
            <w:tcW w:w="939" w:type="dxa"/>
            <w:tcBorders>
              <w:top w:val="single" w:sz="6" w:space="0" w:color="000000"/>
              <w:left w:val="nil"/>
              <w:bottom w:val="nil"/>
              <w:right w:val="nil"/>
            </w:tcBorders>
          </w:tcPr>
          <w:p w:rsidR="00F60B5F" w:rsidRPr="00820AF8" w:rsidRDefault="00F60B5F" w:rsidP="00820AF8">
            <w:pPr>
              <w:pStyle w:val="TableofFigures"/>
              <w:rPr>
                <w:rFonts w:eastAsiaTheme="minorEastAsia"/>
                <w:b/>
                <w:lang w:eastAsia="en-AU"/>
              </w:rPr>
            </w:pPr>
          </w:p>
        </w:tc>
      </w:tr>
      <w:tr w:rsidR="00F60B5F" w:rsidRPr="00820AF8" w:rsidTr="00820AF8">
        <w:tc>
          <w:tcPr>
            <w:tcW w:w="3065" w:type="dxa"/>
            <w:tcBorders>
              <w:top w:val="nil"/>
              <w:left w:val="nil"/>
              <w:bottom w:val="nil"/>
              <w:right w:val="nil"/>
            </w:tcBorders>
          </w:tcPr>
          <w:p w:rsidR="00F60B5F" w:rsidRPr="00820AF8" w:rsidRDefault="00F60B5F" w:rsidP="00820AF8">
            <w:pPr>
              <w:pStyle w:val="Tabletext"/>
              <w:rPr>
                <w:rFonts w:eastAsiaTheme="minorEastAsia"/>
                <w:vertAlign w:val="superscript"/>
                <w:lang w:eastAsia="en-AU"/>
              </w:rPr>
            </w:pPr>
            <w:r w:rsidRPr="00820AF8">
              <w:rPr>
                <w:rFonts w:eastAsiaTheme="minorEastAsia"/>
                <w:lang w:eastAsia="en-AU"/>
              </w:rPr>
              <w:t>Accrued salaries and wages</w:t>
            </w:r>
            <w:r w:rsidRPr="00820AF8">
              <w:rPr>
                <w:rFonts w:eastAsiaTheme="minorEastAsia"/>
                <w:vertAlign w:val="superscript"/>
                <w:lang w:eastAsia="en-AU"/>
              </w:rPr>
              <w:t xml:space="preserve"> (a)</w:t>
            </w:r>
          </w:p>
        </w:tc>
        <w:tc>
          <w:tcPr>
            <w:tcW w:w="939" w:type="dxa"/>
            <w:gridSpan w:val="2"/>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1 658.5</w:t>
            </w:r>
          </w:p>
        </w:tc>
        <w:tc>
          <w:tcPr>
            <w:tcW w:w="93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1 651.9</w:t>
            </w:r>
          </w:p>
        </w:tc>
        <w:tc>
          <w:tcPr>
            <w:tcW w:w="93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1 686.3</w:t>
            </w:r>
          </w:p>
        </w:tc>
        <w:tc>
          <w:tcPr>
            <w:tcW w:w="93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1 722.4</w:t>
            </w:r>
          </w:p>
        </w:tc>
        <w:tc>
          <w:tcPr>
            <w:tcW w:w="93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1 759.4</w:t>
            </w:r>
          </w:p>
        </w:tc>
      </w:tr>
      <w:tr w:rsidR="00F60B5F" w:rsidRPr="00820AF8" w:rsidTr="00820AF8">
        <w:tc>
          <w:tcPr>
            <w:tcW w:w="3065"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Long service leave</w:t>
            </w:r>
          </w:p>
        </w:tc>
        <w:tc>
          <w:tcPr>
            <w:tcW w:w="939" w:type="dxa"/>
            <w:gridSpan w:val="2"/>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3 084.5</w:t>
            </w:r>
          </w:p>
        </w:tc>
        <w:tc>
          <w:tcPr>
            <w:tcW w:w="93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3 079.6</w:t>
            </w:r>
          </w:p>
        </w:tc>
        <w:tc>
          <w:tcPr>
            <w:tcW w:w="93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3 211.2</w:t>
            </w:r>
          </w:p>
        </w:tc>
        <w:tc>
          <w:tcPr>
            <w:tcW w:w="93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3 347.9</w:t>
            </w:r>
          </w:p>
        </w:tc>
        <w:tc>
          <w:tcPr>
            <w:tcW w:w="939"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3 486.9</w:t>
            </w:r>
          </w:p>
        </w:tc>
      </w:tr>
      <w:tr w:rsidR="00F60B5F" w:rsidRPr="00820AF8" w:rsidTr="00820AF8">
        <w:tc>
          <w:tcPr>
            <w:tcW w:w="3065" w:type="dxa"/>
            <w:tcBorders>
              <w:top w:val="single" w:sz="6" w:space="0" w:color="auto"/>
              <w:left w:val="nil"/>
              <w:bottom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current employee benefits</w:t>
            </w:r>
          </w:p>
        </w:tc>
        <w:tc>
          <w:tcPr>
            <w:tcW w:w="939" w:type="dxa"/>
            <w:gridSpan w:val="2"/>
            <w:tcBorders>
              <w:top w:val="single" w:sz="6" w:space="0" w:color="auto"/>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4 742.9</w:t>
            </w:r>
          </w:p>
        </w:tc>
        <w:tc>
          <w:tcPr>
            <w:tcW w:w="939" w:type="dxa"/>
            <w:tcBorders>
              <w:top w:val="single" w:sz="6" w:space="0" w:color="auto"/>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4 731.5</w:t>
            </w:r>
          </w:p>
        </w:tc>
        <w:tc>
          <w:tcPr>
            <w:tcW w:w="939" w:type="dxa"/>
            <w:tcBorders>
              <w:top w:val="single" w:sz="6" w:space="0" w:color="auto"/>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4 897.5</w:t>
            </w:r>
          </w:p>
        </w:tc>
        <w:tc>
          <w:tcPr>
            <w:tcW w:w="939" w:type="dxa"/>
            <w:tcBorders>
              <w:top w:val="single" w:sz="6" w:space="0" w:color="auto"/>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5 070.3</w:t>
            </w:r>
          </w:p>
        </w:tc>
        <w:tc>
          <w:tcPr>
            <w:tcW w:w="939" w:type="dxa"/>
            <w:tcBorders>
              <w:top w:val="single" w:sz="6" w:space="0" w:color="auto"/>
              <w:left w:val="nil"/>
              <w:bottom w:val="nil"/>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5 246.3</w:t>
            </w:r>
          </w:p>
        </w:tc>
      </w:tr>
      <w:tr w:rsidR="00F60B5F" w:rsidRPr="00820AF8" w:rsidTr="006F65E0">
        <w:tc>
          <w:tcPr>
            <w:tcW w:w="3065" w:type="dxa"/>
            <w:tcBorders>
              <w:top w:val="nil"/>
              <w:left w:val="nil"/>
              <w:right w:val="nil"/>
            </w:tcBorders>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Non</w:t>
            </w:r>
            <w:r>
              <w:rPr>
                <w:rFonts w:eastAsiaTheme="minorEastAsia"/>
                <w:b/>
                <w:bCs/>
                <w:lang w:eastAsia="en-AU"/>
              </w:rPr>
              <w:noBreakHyphen/>
            </w:r>
            <w:r w:rsidRPr="00820AF8">
              <w:rPr>
                <w:rFonts w:eastAsiaTheme="minorEastAsia"/>
                <w:b/>
                <w:bCs/>
                <w:lang w:eastAsia="en-AU"/>
              </w:rPr>
              <w:t>current</w:t>
            </w:r>
          </w:p>
        </w:tc>
        <w:tc>
          <w:tcPr>
            <w:tcW w:w="939" w:type="dxa"/>
            <w:gridSpan w:val="2"/>
            <w:tcBorders>
              <w:top w:val="nil"/>
              <w:left w:val="nil"/>
              <w:right w:val="nil"/>
            </w:tcBorders>
          </w:tcPr>
          <w:p w:rsidR="00F60B5F" w:rsidRPr="00820AF8" w:rsidRDefault="00F60B5F" w:rsidP="00820AF8">
            <w:pPr>
              <w:pStyle w:val="TableofFigures"/>
              <w:rPr>
                <w:rFonts w:eastAsiaTheme="minorEastAsia"/>
                <w:b/>
                <w:lang w:eastAsia="en-AU"/>
              </w:rPr>
            </w:pPr>
          </w:p>
        </w:tc>
        <w:tc>
          <w:tcPr>
            <w:tcW w:w="939" w:type="dxa"/>
            <w:tcBorders>
              <w:top w:val="nil"/>
              <w:left w:val="nil"/>
              <w:right w:val="nil"/>
            </w:tcBorders>
          </w:tcPr>
          <w:p w:rsidR="00F60B5F" w:rsidRPr="00820AF8" w:rsidRDefault="00F60B5F" w:rsidP="00820AF8">
            <w:pPr>
              <w:pStyle w:val="TableofFigures"/>
              <w:rPr>
                <w:rFonts w:eastAsiaTheme="minorEastAsia"/>
                <w:b/>
                <w:lang w:eastAsia="en-AU"/>
              </w:rPr>
            </w:pPr>
          </w:p>
        </w:tc>
        <w:tc>
          <w:tcPr>
            <w:tcW w:w="939" w:type="dxa"/>
            <w:tcBorders>
              <w:top w:val="nil"/>
              <w:left w:val="nil"/>
              <w:right w:val="nil"/>
            </w:tcBorders>
          </w:tcPr>
          <w:p w:rsidR="00F60B5F" w:rsidRPr="00820AF8" w:rsidRDefault="00F60B5F" w:rsidP="00820AF8">
            <w:pPr>
              <w:pStyle w:val="TableofFigures"/>
              <w:rPr>
                <w:rFonts w:eastAsiaTheme="minorEastAsia"/>
                <w:b/>
                <w:lang w:eastAsia="en-AU"/>
              </w:rPr>
            </w:pPr>
          </w:p>
        </w:tc>
        <w:tc>
          <w:tcPr>
            <w:tcW w:w="939" w:type="dxa"/>
            <w:tcBorders>
              <w:top w:val="nil"/>
              <w:left w:val="nil"/>
              <w:right w:val="nil"/>
            </w:tcBorders>
          </w:tcPr>
          <w:p w:rsidR="00F60B5F" w:rsidRPr="00820AF8" w:rsidRDefault="00F60B5F" w:rsidP="00820AF8">
            <w:pPr>
              <w:pStyle w:val="TableofFigures"/>
              <w:rPr>
                <w:rFonts w:eastAsiaTheme="minorEastAsia"/>
                <w:b/>
                <w:lang w:eastAsia="en-AU"/>
              </w:rPr>
            </w:pPr>
          </w:p>
        </w:tc>
        <w:tc>
          <w:tcPr>
            <w:tcW w:w="939" w:type="dxa"/>
            <w:tcBorders>
              <w:top w:val="nil"/>
              <w:left w:val="nil"/>
              <w:right w:val="nil"/>
            </w:tcBorders>
          </w:tcPr>
          <w:p w:rsidR="00F60B5F" w:rsidRPr="00820AF8" w:rsidRDefault="00F60B5F" w:rsidP="00820AF8">
            <w:pPr>
              <w:pStyle w:val="TableofFigures"/>
              <w:rPr>
                <w:rFonts w:eastAsiaTheme="minorEastAsia"/>
                <w:b/>
                <w:lang w:eastAsia="en-AU"/>
              </w:rPr>
            </w:pPr>
          </w:p>
        </w:tc>
      </w:tr>
      <w:tr w:rsidR="00F60B5F" w:rsidRPr="00820AF8" w:rsidTr="006F65E0">
        <w:tc>
          <w:tcPr>
            <w:tcW w:w="3065" w:type="dxa"/>
            <w:tcBorders>
              <w:top w:val="nil"/>
              <w:left w:val="nil"/>
              <w:bottom w:val="single" w:sz="4"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Long service leave</w:t>
            </w:r>
          </w:p>
        </w:tc>
        <w:tc>
          <w:tcPr>
            <w:tcW w:w="939" w:type="dxa"/>
            <w:gridSpan w:val="2"/>
            <w:tcBorders>
              <w:top w:val="nil"/>
              <w:left w:val="nil"/>
              <w:bottom w:val="single" w:sz="4"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658.7</w:t>
            </w:r>
          </w:p>
        </w:tc>
        <w:tc>
          <w:tcPr>
            <w:tcW w:w="939" w:type="dxa"/>
            <w:tcBorders>
              <w:top w:val="nil"/>
              <w:left w:val="nil"/>
              <w:bottom w:val="single" w:sz="4"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659.4</w:t>
            </w:r>
          </w:p>
        </w:tc>
        <w:tc>
          <w:tcPr>
            <w:tcW w:w="939" w:type="dxa"/>
            <w:tcBorders>
              <w:top w:val="nil"/>
              <w:left w:val="nil"/>
              <w:bottom w:val="single" w:sz="4"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695.0</w:t>
            </w:r>
          </w:p>
        </w:tc>
        <w:tc>
          <w:tcPr>
            <w:tcW w:w="939" w:type="dxa"/>
            <w:tcBorders>
              <w:top w:val="nil"/>
              <w:left w:val="nil"/>
              <w:bottom w:val="single" w:sz="4"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735.0</w:t>
            </w:r>
          </w:p>
        </w:tc>
        <w:tc>
          <w:tcPr>
            <w:tcW w:w="939" w:type="dxa"/>
            <w:tcBorders>
              <w:top w:val="nil"/>
              <w:left w:val="nil"/>
              <w:bottom w:val="single" w:sz="4"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780.8</w:t>
            </w:r>
          </w:p>
        </w:tc>
      </w:tr>
      <w:tr w:rsidR="00F60B5F" w:rsidRPr="00820AF8" w:rsidTr="006F65E0">
        <w:tc>
          <w:tcPr>
            <w:tcW w:w="3278" w:type="dxa"/>
            <w:gridSpan w:val="2"/>
            <w:tcBorders>
              <w:top w:val="single" w:sz="4" w:space="0" w:color="auto"/>
              <w:left w:val="nil"/>
              <w:bottom w:val="single" w:sz="6" w:space="0" w:color="auto"/>
              <w:right w:val="nil"/>
            </w:tcBorders>
          </w:tcPr>
          <w:p w:rsidR="00F60B5F" w:rsidRPr="00820AF8" w:rsidRDefault="00F60B5F" w:rsidP="00820AF8">
            <w:pPr>
              <w:pStyle w:val="Tabletext"/>
              <w:rPr>
                <w:rFonts w:eastAsiaTheme="minorEastAsia" w:cs="Calibri"/>
                <w:b/>
                <w:bCs/>
                <w:szCs w:val="22"/>
                <w:lang w:eastAsia="en-AU"/>
              </w:rPr>
            </w:pPr>
            <w:r w:rsidRPr="00820AF8">
              <w:rPr>
                <w:rFonts w:eastAsiaTheme="minorEastAsia"/>
                <w:b/>
                <w:bCs/>
                <w:lang w:eastAsia="en-AU"/>
              </w:rPr>
              <w:t>Total non</w:t>
            </w:r>
            <w:r>
              <w:rPr>
                <w:rFonts w:eastAsiaTheme="minorEastAsia"/>
                <w:b/>
                <w:bCs/>
                <w:lang w:eastAsia="en-AU"/>
              </w:rPr>
              <w:noBreakHyphen/>
            </w:r>
            <w:r w:rsidRPr="00820AF8">
              <w:rPr>
                <w:rFonts w:eastAsiaTheme="minorEastAsia"/>
                <w:b/>
                <w:bCs/>
                <w:lang w:eastAsia="en-AU"/>
              </w:rPr>
              <w:t xml:space="preserve">current employee </w:t>
            </w:r>
            <w:r w:rsidRPr="00820AF8">
              <w:rPr>
                <w:rFonts w:eastAsiaTheme="minorEastAsia" w:cs="Calibri"/>
                <w:b/>
                <w:bCs/>
                <w:szCs w:val="22"/>
                <w:lang w:eastAsia="en-AU"/>
              </w:rPr>
              <w:t>benefits</w:t>
            </w:r>
          </w:p>
        </w:tc>
        <w:tc>
          <w:tcPr>
            <w:tcW w:w="726" w:type="dxa"/>
            <w:tcBorders>
              <w:top w:val="single" w:sz="4"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658.7</w:t>
            </w:r>
          </w:p>
        </w:tc>
        <w:tc>
          <w:tcPr>
            <w:tcW w:w="939" w:type="dxa"/>
            <w:tcBorders>
              <w:top w:val="single" w:sz="4"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659.4</w:t>
            </w:r>
          </w:p>
        </w:tc>
        <w:tc>
          <w:tcPr>
            <w:tcW w:w="939" w:type="dxa"/>
            <w:tcBorders>
              <w:top w:val="single" w:sz="4"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695.0</w:t>
            </w:r>
          </w:p>
        </w:tc>
        <w:tc>
          <w:tcPr>
            <w:tcW w:w="939" w:type="dxa"/>
            <w:tcBorders>
              <w:top w:val="single" w:sz="4"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735.0</w:t>
            </w:r>
          </w:p>
        </w:tc>
        <w:tc>
          <w:tcPr>
            <w:tcW w:w="939" w:type="dxa"/>
            <w:tcBorders>
              <w:top w:val="single" w:sz="4" w:space="0" w:color="auto"/>
              <w:left w:val="nil"/>
              <w:bottom w:val="single" w:sz="6" w:space="0" w:color="auto"/>
              <w:right w:val="nil"/>
            </w:tcBorders>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 xml:space="preserve"> 780.7</w:t>
            </w:r>
          </w:p>
        </w:tc>
      </w:tr>
      <w:tr w:rsidR="00F60B5F" w:rsidRPr="00820AF8" w:rsidTr="00820AF8">
        <w:tc>
          <w:tcPr>
            <w:tcW w:w="3065"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employee benefits</w:t>
            </w:r>
          </w:p>
        </w:tc>
        <w:tc>
          <w:tcPr>
            <w:tcW w:w="939" w:type="dxa"/>
            <w:gridSpan w:val="2"/>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5 401.6</w:t>
            </w:r>
          </w:p>
        </w:tc>
        <w:tc>
          <w:tcPr>
            <w:tcW w:w="939"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5 390.9</w:t>
            </w:r>
          </w:p>
        </w:tc>
        <w:tc>
          <w:tcPr>
            <w:tcW w:w="939"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5 592.5</w:t>
            </w:r>
          </w:p>
        </w:tc>
        <w:tc>
          <w:tcPr>
            <w:tcW w:w="939"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5 805.4</w:t>
            </w:r>
          </w:p>
        </w:tc>
        <w:tc>
          <w:tcPr>
            <w:tcW w:w="939"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6 027.0</w:t>
            </w:r>
          </w:p>
        </w:tc>
      </w:tr>
    </w:tbl>
    <w:p w:rsidR="00F60B5F" w:rsidRPr="00B56B1C" w:rsidRDefault="00F60B5F" w:rsidP="009939C8">
      <w:pPr>
        <w:pStyle w:val="Notes"/>
      </w:pPr>
      <w:r w:rsidRPr="00B56B1C">
        <w:t>Note:</w:t>
      </w:r>
    </w:p>
    <w:p w:rsidR="00F60B5F" w:rsidRPr="00B56B1C" w:rsidRDefault="00F60B5F" w:rsidP="009939C8">
      <w:pPr>
        <w:pStyle w:val="Notes"/>
      </w:pPr>
      <w:r w:rsidRPr="00B56B1C">
        <w:t xml:space="preserve">(a) </w:t>
      </w:r>
      <w:r w:rsidRPr="00B56B1C">
        <w:tab/>
        <w:t>Includes accrued annual leave, payroll tax and other similar on costs.</w:t>
      </w:r>
    </w:p>
    <w:p w:rsidR="00F60B5F" w:rsidRPr="00B56B1C" w:rsidRDefault="00F60B5F" w:rsidP="00DB42D8"/>
    <w:p w:rsidR="00F60B5F" w:rsidRPr="00B56B1C" w:rsidRDefault="00F60B5F" w:rsidP="00DB42D8"/>
    <w:p w:rsidR="00F60B5F" w:rsidRPr="00B56B1C" w:rsidRDefault="00F60B5F" w:rsidP="00C54DC6">
      <w:pPr>
        <w:pStyle w:val="Heading2Notes"/>
      </w:pPr>
      <w:bookmarkStart w:id="47" w:name="_Toc373751828"/>
      <w:r w:rsidRPr="00B56B1C">
        <w:t>Note 22:</w:t>
      </w:r>
      <w:r w:rsidRPr="00B56B1C">
        <w:tab/>
        <w:t>Reserves</w:t>
      </w:r>
      <w:bookmarkEnd w:id="47"/>
    </w:p>
    <w:p w:rsidR="00F60B5F" w:rsidRPr="00820AF8" w:rsidRDefault="00F60B5F" w:rsidP="00820AF8">
      <w:pPr>
        <w:pStyle w:val="million"/>
      </w:pPr>
      <w:r w:rsidRPr="00B56B1C">
        <w:t>($</w:t>
      </w:r>
      <w:r>
        <w:t> million</w:t>
      </w:r>
      <w:r w:rsidRPr="00B56B1C">
        <w:t>)</w:t>
      </w:r>
    </w:p>
    <w:tbl>
      <w:tblPr>
        <w:tblW w:w="7760" w:type="dxa"/>
        <w:tblInd w:w="28" w:type="dxa"/>
        <w:tblLayout w:type="fixed"/>
        <w:tblCellMar>
          <w:left w:w="45" w:type="dxa"/>
          <w:right w:w="45" w:type="dxa"/>
        </w:tblCellMar>
        <w:tblLook w:val="0000" w:firstRow="0" w:lastRow="0" w:firstColumn="0" w:lastColumn="0" w:noHBand="0" w:noVBand="0"/>
      </w:tblPr>
      <w:tblGrid>
        <w:gridCol w:w="3077"/>
        <w:gridCol w:w="936"/>
        <w:gridCol w:w="937"/>
        <w:gridCol w:w="936"/>
        <w:gridCol w:w="937"/>
        <w:gridCol w:w="937"/>
      </w:tblGrid>
      <w:tr w:rsidR="00F60B5F" w:rsidRPr="00820AF8" w:rsidTr="00820AF8">
        <w:tc>
          <w:tcPr>
            <w:tcW w:w="3077" w:type="dxa"/>
            <w:tcBorders>
              <w:top w:val="single" w:sz="6" w:space="0" w:color="000000"/>
              <w:left w:val="single" w:sz="6" w:space="0" w:color="000000"/>
              <w:bottom w:val="nil"/>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 xml:space="preserve"> </w:t>
            </w:r>
          </w:p>
        </w:tc>
        <w:tc>
          <w:tcPr>
            <w:tcW w:w="936"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2013</w:t>
            </w:r>
            <w:r>
              <w:rPr>
                <w:rFonts w:eastAsiaTheme="minorEastAsia"/>
                <w:iCs/>
                <w:lang w:eastAsia="en-AU"/>
              </w:rPr>
              <w:noBreakHyphen/>
            </w:r>
            <w:r w:rsidRPr="00820AF8">
              <w:rPr>
                <w:rFonts w:eastAsiaTheme="minorEastAsia"/>
                <w:iCs/>
                <w:lang w:eastAsia="en-AU"/>
              </w:rPr>
              <w:t>14</w:t>
            </w:r>
          </w:p>
        </w:tc>
        <w:tc>
          <w:tcPr>
            <w:tcW w:w="937"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2013</w:t>
            </w:r>
            <w:r>
              <w:rPr>
                <w:rFonts w:eastAsiaTheme="minorEastAsia"/>
                <w:iCs/>
                <w:lang w:eastAsia="en-AU"/>
              </w:rPr>
              <w:noBreakHyphen/>
            </w:r>
            <w:r w:rsidRPr="00820AF8">
              <w:rPr>
                <w:rFonts w:eastAsiaTheme="minorEastAsia"/>
                <w:iCs/>
                <w:lang w:eastAsia="en-AU"/>
              </w:rPr>
              <w:t>14</w:t>
            </w:r>
          </w:p>
        </w:tc>
        <w:tc>
          <w:tcPr>
            <w:tcW w:w="936"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2014</w:t>
            </w:r>
            <w:r>
              <w:rPr>
                <w:rFonts w:eastAsiaTheme="minorEastAsia"/>
                <w:iCs/>
                <w:lang w:eastAsia="en-AU"/>
              </w:rPr>
              <w:noBreakHyphen/>
            </w:r>
            <w:r w:rsidRPr="00820AF8">
              <w:rPr>
                <w:rFonts w:eastAsiaTheme="minorEastAsia"/>
                <w:iCs/>
                <w:lang w:eastAsia="en-AU"/>
              </w:rPr>
              <w:t>15</w:t>
            </w:r>
          </w:p>
        </w:tc>
        <w:tc>
          <w:tcPr>
            <w:tcW w:w="937" w:type="dxa"/>
            <w:tcBorders>
              <w:top w:val="single" w:sz="6" w:space="0" w:color="000000"/>
              <w:left w:val="nil"/>
              <w:bottom w:val="nil"/>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2015</w:t>
            </w:r>
            <w:r>
              <w:rPr>
                <w:rFonts w:eastAsiaTheme="minorEastAsia"/>
                <w:iCs/>
                <w:lang w:eastAsia="en-AU"/>
              </w:rPr>
              <w:noBreakHyphen/>
            </w:r>
            <w:r w:rsidRPr="00820AF8">
              <w:rPr>
                <w:rFonts w:eastAsiaTheme="minorEastAsia"/>
                <w:iCs/>
                <w:lang w:eastAsia="en-AU"/>
              </w:rPr>
              <w:t>16</w:t>
            </w:r>
          </w:p>
        </w:tc>
        <w:tc>
          <w:tcPr>
            <w:tcW w:w="937" w:type="dxa"/>
            <w:tcBorders>
              <w:top w:val="single" w:sz="6" w:space="0" w:color="000000"/>
              <w:left w:val="nil"/>
              <w:bottom w:val="nil"/>
              <w:right w:val="single" w:sz="6" w:space="0" w:color="000000"/>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2016</w:t>
            </w:r>
            <w:r>
              <w:rPr>
                <w:rFonts w:eastAsiaTheme="minorEastAsia"/>
                <w:iCs/>
                <w:lang w:eastAsia="en-AU"/>
              </w:rPr>
              <w:noBreakHyphen/>
            </w:r>
            <w:r w:rsidRPr="00820AF8">
              <w:rPr>
                <w:rFonts w:eastAsiaTheme="minorEastAsia"/>
                <w:iCs/>
                <w:lang w:eastAsia="en-AU"/>
              </w:rPr>
              <w:t>17</w:t>
            </w:r>
          </w:p>
        </w:tc>
      </w:tr>
      <w:tr w:rsidR="00F60B5F" w:rsidRPr="00820AF8" w:rsidTr="00820AF8">
        <w:tc>
          <w:tcPr>
            <w:tcW w:w="3077" w:type="dxa"/>
            <w:tcBorders>
              <w:top w:val="nil"/>
              <w:left w:val="single" w:sz="6" w:space="0" w:color="000000"/>
              <w:bottom w:val="single" w:sz="6" w:space="0" w:color="000000"/>
              <w:right w:val="nil"/>
            </w:tcBorders>
            <w:shd w:val="clear" w:color="000000" w:fill="000000"/>
          </w:tcPr>
          <w:p w:rsidR="00F60B5F" w:rsidRPr="00820AF8" w:rsidRDefault="00F60B5F" w:rsidP="00820AF8">
            <w:pPr>
              <w:pStyle w:val="Tabletextheading"/>
              <w:rPr>
                <w:rFonts w:eastAsiaTheme="minorEastAsia"/>
                <w:lang w:eastAsia="en-AU"/>
              </w:rPr>
            </w:pPr>
            <w:r w:rsidRPr="00820AF8">
              <w:rPr>
                <w:rFonts w:eastAsiaTheme="minorEastAsia"/>
                <w:lang w:eastAsia="en-AU"/>
              </w:rPr>
              <w:t xml:space="preserve"> </w:t>
            </w:r>
          </w:p>
        </w:tc>
        <w:tc>
          <w:tcPr>
            <w:tcW w:w="936"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Budget</w:t>
            </w:r>
          </w:p>
        </w:tc>
        <w:tc>
          <w:tcPr>
            <w:tcW w:w="937"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Revised</w:t>
            </w:r>
          </w:p>
        </w:tc>
        <w:tc>
          <w:tcPr>
            <w:tcW w:w="936"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c>
          <w:tcPr>
            <w:tcW w:w="937" w:type="dxa"/>
            <w:tcBorders>
              <w:top w:val="nil"/>
              <w:left w:val="nil"/>
              <w:bottom w:val="single" w:sz="6" w:space="0" w:color="000000"/>
              <w:right w:val="nil"/>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c>
          <w:tcPr>
            <w:tcW w:w="937" w:type="dxa"/>
            <w:tcBorders>
              <w:top w:val="nil"/>
              <w:left w:val="nil"/>
              <w:bottom w:val="single" w:sz="6" w:space="0" w:color="000000"/>
              <w:right w:val="single" w:sz="6" w:space="0" w:color="000000"/>
            </w:tcBorders>
            <w:shd w:val="clear" w:color="000000" w:fill="000000"/>
          </w:tcPr>
          <w:p w:rsidR="00F60B5F" w:rsidRPr="00820AF8" w:rsidRDefault="00F60B5F" w:rsidP="00820AF8">
            <w:pPr>
              <w:pStyle w:val="Tabletextheading"/>
              <w:rPr>
                <w:rFonts w:eastAsiaTheme="minorEastAsia"/>
                <w:iCs/>
                <w:lang w:eastAsia="en-AU"/>
              </w:rPr>
            </w:pPr>
            <w:r w:rsidRPr="00820AF8">
              <w:rPr>
                <w:rFonts w:eastAsiaTheme="minorEastAsia"/>
                <w:iCs/>
                <w:lang w:eastAsia="en-AU"/>
              </w:rPr>
              <w:t>Estimate</w:t>
            </w:r>
          </w:p>
        </w:tc>
      </w:tr>
      <w:tr w:rsidR="00F60B5F" w:rsidRPr="00820AF8" w:rsidTr="00820AF8">
        <w:tc>
          <w:tcPr>
            <w:tcW w:w="3077" w:type="dxa"/>
            <w:tcBorders>
              <w:top w:val="single" w:sz="6" w:space="0" w:color="000000"/>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Property plant and equipment revaluation surplus</w:t>
            </w:r>
          </w:p>
        </w:tc>
        <w:tc>
          <w:tcPr>
            <w:tcW w:w="936"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41 581.0</w:t>
            </w:r>
          </w:p>
        </w:tc>
        <w:tc>
          <w:tcPr>
            <w:tcW w:w="937"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38 476.8</w:t>
            </w:r>
          </w:p>
        </w:tc>
        <w:tc>
          <w:tcPr>
            <w:tcW w:w="936"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42 013.6</w:t>
            </w:r>
          </w:p>
        </w:tc>
        <w:tc>
          <w:tcPr>
            <w:tcW w:w="937"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43 008.4</w:t>
            </w:r>
          </w:p>
        </w:tc>
        <w:tc>
          <w:tcPr>
            <w:tcW w:w="937" w:type="dxa"/>
            <w:tcBorders>
              <w:top w:val="single" w:sz="6" w:space="0" w:color="000000"/>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44 957.0</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Available</w:t>
            </w:r>
            <w:r>
              <w:rPr>
                <w:rFonts w:eastAsiaTheme="minorEastAsia"/>
                <w:lang w:eastAsia="en-AU"/>
              </w:rPr>
              <w:noBreakHyphen/>
            </w:r>
            <w:r w:rsidRPr="00820AF8">
              <w:rPr>
                <w:rFonts w:eastAsiaTheme="minorEastAsia"/>
                <w:lang w:eastAsia="en-AU"/>
              </w:rPr>
              <w:t>for</w:t>
            </w:r>
            <w:r>
              <w:rPr>
                <w:rFonts w:eastAsiaTheme="minorEastAsia"/>
                <w:lang w:eastAsia="en-AU"/>
              </w:rPr>
              <w:noBreakHyphen/>
            </w:r>
            <w:r w:rsidRPr="00820AF8">
              <w:rPr>
                <w:rFonts w:eastAsiaTheme="minorEastAsia"/>
                <w:lang w:eastAsia="en-AU"/>
              </w:rPr>
              <w:t>sale investments revaluation surplus</w:t>
            </w:r>
          </w:p>
        </w:tc>
        <w:tc>
          <w:tcPr>
            <w:tcW w:w="93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52.8</w:t>
            </w:r>
          </w:p>
        </w:tc>
        <w:tc>
          <w:tcPr>
            <w:tcW w:w="937"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52.7</w:t>
            </w:r>
          </w:p>
        </w:tc>
        <w:tc>
          <w:tcPr>
            <w:tcW w:w="93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53.7</w:t>
            </w:r>
          </w:p>
        </w:tc>
        <w:tc>
          <w:tcPr>
            <w:tcW w:w="937"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54.8</w:t>
            </w:r>
          </w:p>
        </w:tc>
        <w:tc>
          <w:tcPr>
            <w:tcW w:w="937"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55.8</w:t>
            </w:r>
          </w:p>
        </w:tc>
      </w:tr>
      <w:tr w:rsidR="00F60B5F" w:rsidRPr="00820AF8" w:rsidTr="00820AF8">
        <w:tc>
          <w:tcPr>
            <w:tcW w:w="3077" w:type="dxa"/>
            <w:tcBorders>
              <w:top w:val="nil"/>
              <w:left w:val="nil"/>
              <w:bottom w:val="nil"/>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Revaluation reserve for investments in PFC and PNFC entities</w:t>
            </w:r>
          </w:p>
        </w:tc>
        <w:tc>
          <w:tcPr>
            <w:tcW w:w="93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39 707.3</w:t>
            </w:r>
          </w:p>
        </w:tc>
        <w:tc>
          <w:tcPr>
            <w:tcW w:w="937"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39 832.0</w:t>
            </w:r>
          </w:p>
        </w:tc>
        <w:tc>
          <w:tcPr>
            <w:tcW w:w="936"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42 458.0</w:t>
            </w:r>
          </w:p>
        </w:tc>
        <w:tc>
          <w:tcPr>
            <w:tcW w:w="937"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43 486.6</w:t>
            </w:r>
          </w:p>
        </w:tc>
        <w:tc>
          <w:tcPr>
            <w:tcW w:w="937" w:type="dxa"/>
            <w:tcBorders>
              <w:top w:val="nil"/>
              <w:left w:val="nil"/>
              <w:bottom w:val="nil"/>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43 080.4</w:t>
            </w:r>
          </w:p>
        </w:tc>
      </w:tr>
      <w:tr w:rsidR="00F60B5F" w:rsidRPr="00820AF8" w:rsidTr="00820AF8">
        <w:tc>
          <w:tcPr>
            <w:tcW w:w="3077" w:type="dxa"/>
            <w:tcBorders>
              <w:top w:val="nil"/>
              <w:left w:val="nil"/>
              <w:bottom w:val="single" w:sz="6" w:space="0" w:color="auto"/>
              <w:right w:val="nil"/>
            </w:tcBorders>
          </w:tcPr>
          <w:p w:rsidR="00F60B5F" w:rsidRPr="00820AF8" w:rsidRDefault="00F60B5F" w:rsidP="00820AF8">
            <w:pPr>
              <w:pStyle w:val="Tabletext"/>
              <w:rPr>
                <w:rFonts w:eastAsiaTheme="minorEastAsia"/>
                <w:lang w:eastAsia="en-AU"/>
              </w:rPr>
            </w:pPr>
            <w:r w:rsidRPr="00820AF8">
              <w:rPr>
                <w:rFonts w:eastAsiaTheme="minorEastAsia"/>
                <w:lang w:eastAsia="en-AU"/>
              </w:rPr>
              <w:t>Other reserves</w:t>
            </w:r>
          </w:p>
        </w:tc>
        <w:tc>
          <w:tcPr>
            <w:tcW w:w="936"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880.6</w:t>
            </w:r>
          </w:p>
        </w:tc>
        <w:tc>
          <w:tcPr>
            <w:tcW w:w="937"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875.9</w:t>
            </w:r>
          </w:p>
        </w:tc>
        <w:tc>
          <w:tcPr>
            <w:tcW w:w="936"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886.9</w:t>
            </w:r>
          </w:p>
        </w:tc>
        <w:tc>
          <w:tcPr>
            <w:tcW w:w="937"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897.9</w:t>
            </w:r>
          </w:p>
        </w:tc>
        <w:tc>
          <w:tcPr>
            <w:tcW w:w="937" w:type="dxa"/>
            <w:tcBorders>
              <w:top w:val="nil"/>
              <w:left w:val="nil"/>
              <w:bottom w:val="single" w:sz="6" w:space="0" w:color="auto"/>
              <w:right w:val="nil"/>
            </w:tcBorders>
          </w:tcPr>
          <w:p w:rsidR="00F60B5F" w:rsidRPr="00820AF8" w:rsidRDefault="00F60B5F" w:rsidP="00820AF8">
            <w:pPr>
              <w:pStyle w:val="TableofFigures"/>
              <w:rPr>
                <w:rFonts w:eastAsiaTheme="minorEastAsia"/>
                <w:lang w:eastAsia="en-AU"/>
              </w:rPr>
            </w:pPr>
            <w:r w:rsidRPr="00820AF8">
              <w:rPr>
                <w:rFonts w:eastAsiaTheme="minorEastAsia"/>
                <w:lang w:eastAsia="en-AU"/>
              </w:rPr>
              <w:t xml:space="preserve"> 909.0</w:t>
            </w:r>
          </w:p>
        </w:tc>
      </w:tr>
      <w:tr w:rsidR="00F60B5F" w:rsidRPr="00820AF8" w:rsidTr="00820AF8">
        <w:tc>
          <w:tcPr>
            <w:tcW w:w="3077"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text"/>
              <w:rPr>
                <w:rFonts w:eastAsiaTheme="minorEastAsia"/>
                <w:b/>
                <w:bCs/>
                <w:lang w:eastAsia="en-AU"/>
              </w:rPr>
            </w:pPr>
            <w:r w:rsidRPr="00820AF8">
              <w:rPr>
                <w:rFonts w:eastAsiaTheme="minorEastAsia"/>
                <w:b/>
                <w:bCs/>
                <w:lang w:eastAsia="en-AU"/>
              </w:rPr>
              <w:t>Total reserves</w:t>
            </w:r>
          </w:p>
        </w:tc>
        <w:tc>
          <w:tcPr>
            <w:tcW w:w="936"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b/>
                <w:bCs/>
                <w:lang w:eastAsia="en-AU"/>
              </w:rPr>
            </w:pPr>
            <w:r w:rsidRPr="00820AF8">
              <w:rPr>
                <w:rFonts w:eastAsiaTheme="minorEastAsia"/>
                <w:b/>
                <w:bCs/>
                <w:lang w:eastAsia="en-AU"/>
              </w:rPr>
              <w:t>82 221.6</w:t>
            </w:r>
          </w:p>
        </w:tc>
        <w:tc>
          <w:tcPr>
            <w:tcW w:w="937"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79 237.4</w:t>
            </w:r>
          </w:p>
        </w:tc>
        <w:tc>
          <w:tcPr>
            <w:tcW w:w="936"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85 412.2</w:t>
            </w:r>
          </w:p>
        </w:tc>
        <w:tc>
          <w:tcPr>
            <w:tcW w:w="937"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87 447.6</w:t>
            </w:r>
          </w:p>
        </w:tc>
        <w:tc>
          <w:tcPr>
            <w:tcW w:w="937" w:type="dxa"/>
            <w:tcBorders>
              <w:top w:val="single" w:sz="6" w:space="0" w:color="auto"/>
              <w:left w:val="nil"/>
              <w:bottom w:val="single" w:sz="12" w:space="0" w:color="000000"/>
              <w:right w:val="nil"/>
            </w:tcBorders>
            <w:shd w:val="clear" w:color="auto" w:fill="auto"/>
          </w:tcPr>
          <w:p w:rsidR="00F60B5F" w:rsidRPr="00820AF8" w:rsidRDefault="00F60B5F" w:rsidP="00820AF8">
            <w:pPr>
              <w:pStyle w:val="TableofFigures"/>
              <w:rPr>
                <w:rFonts w:eastAsiaTheme="minorEastAsia" w:cs="Calibri"/>
                <w:b/>
                <w:bCs/>
                <w:szCs w:val="22"/>
                <w:lang w:eastAsia="en-AU"/>
              </w:rPr>
            </w:pPr>
            <w:r w:rsidRPr="00820AF8">
              <w:rPr>
                <w:rFonts w:eastAsiaTheme="minorEastAsia"/>
                <w:b/>
                <w:bCs/>
                <w:lang w:eastAsia="en-AU"/>
              </w:rPr>
              <w:t>89 002.1</w:t>
            </w:r>
          </w:p>
        </w:tc>
      </w:tr>
    </w:tbl>
    <w:p w:rsidR="00F60B5F" w:rsidRPr="00B56B1C" w:rsidRDefault="00F60B5F" w:rsidP="008F270C"/>
    <w:p w:rsidR="00F60B5F" w:rsidRPr="00B56B1C" w:rsidRDefault="00F60B5F" w:rsidP="008F270C"/>
    <w:p w:rsidR="00F60B5F" w:rsidRPr="00B56B1C" w:rsidRDefault="00F60B5F" w:rsidP="008F270C">
      <w:pPr>
        <w:pStyle w:val="Heading2Notes"/>
      </w:pPr>
      <w:bookmarkStart w:id="48" w:name="_Toc373751829"/>
      <w:r w:rsidRPr="00B56B1C">
        <w:t>Note 23:</w:t>
      </w:r>
      <w:r w:rsidRPr="00B56B1C">
        <w:tab/>
        <w:t>Reconciliations to government finance statistics – derivation of GFS cash/surplus deficit</w:t>
      </w:r>
      <w:bookmarkEnd w:id="48"/>
    </w:p>
    <w:p w:rsidR="00F60B5F" w:rsidRPr="00DA299C" w:rsidRDefault="00F60B5F" w:rsidP="00820AF8">
      <w:pPr>
        <w:pStyle w:val="million"/>
      </w:pPr>
      <w:r w:rsidRPr="00B56B1C">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DA299C" w:rsidTr="00DA299C">
        <w:trPr>
          <w:cantSplit/>
          <w:tblHeader/>
        </w:trPr>
        <w:tc>
          <w:tcPr>
            <w:tcW w:w="2790" w:type="dxa"/>
            <w:tcBorders>
              <w:top w:val="single" w:sz="6" w:space="0" w:color="auto"/>
              <w:left w:val="single" w:sz="6" w:space="0" w:color="auto"/>
              <w:bottom w:val="nil"/>
              <w:right w:val="nil"/>
            </w:tcBorders>
            <w:shd w:val="clear" w:color="000000" w:fill="000000"/>
          </w:tcPr>
          <w:p w:rsidR="00F60B5F" w:rsidRPr="00DA299C" w:rsidRDefault="00F60B5F" w:rsidP="00DA299C">
            <w:pPr>
              <w:pStyle w:val="Tabletext"/>
              <w:rPr>
                <w:rFonts w:eastAsiaTheme="minorEastAsia"/>
                <w:lang w:eastAsia="en-AU"/>
              </w:rPr>
            </w:pPr>
            <w:r w:rsidRPr="00DA299C">
              <w:rPr>
                <w:rFonts w:eastAsiaTheme="minorEastAsia"/>
                <w:lang w:eastAsia="en-AU"/>
              </w:rPr>
              <w:t xml:space="preserve"> </w:t>
            </w:r>
          </w:p>
        </w:tc>
        <w:tc>
          <w:tcPr>
            <w:tcW w:w="994" w:type="dxa"/>
            <w:tcBorders>
              <w:top w:val="single" w:sz="6" w:space="0" w:color="auto"/>
              <w:left w:val="nil"/>
              <w:bottom w:val="nil"/>
              <w:right w:val="nil"/>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2013</w:t>
            </w:r>
            <w:r>
              <w:rPr>
                <w:rFonts w:eastAsiaTheme="minorEastAsia"/>
                <w:iCs/>
                <w:color w:val="FFFFFF"/>
                <w:lang w:eastAsia="en-AU"/>
              </w:rPr>
              <w:noBreakHyphen/>
            </w:r>
            <w:r w:rsidRPr="00DA299C">
              <w:rPr>
                <w:rFonts w:eastAsiaTheme="minorEastAsia"/>
                <w:iCs/>
                <w:color w:val="FFFFFF"/>
                <w:lang w:eastAsia="en-AU"/>
              </w:rPr>
              <w:t>14</w:t>
            </w:r>
          </w:p>
        </w:tc>
        <w:tc>
          <w:tcPr>
            <w:tcW w:w="994" w:type="dxa"/>
            <w:tcBorders>
              <w:top w:val="single" w:sz="6" w:space="0" w:color="auto"/>
              <w:left w:val="nil"/>
              <w:bottom w:val="nil"/>
              <w:right w:val="nil"/>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2013</w:t>
            </w:r>
            <w:r>
              <w:rPr>
                <w:rFonts w:eastAsiaTheme="minorEastAsia"/>
                <w:iCs/>
                <w:color w:val="FFFFFF"/>
                <w:lang w:eastAsia="en-AU"/>
              </w:rPr>
              <w:noBreakHyphen/>
            </w:r>
            <w:r w:rsidRPr="00DA299C">
              <w:rPr>
                <w:rFonts w:eastAsiaTheme="minorEastAsia"/>
                <w:iCs/>
                <w:color w:val="FFFFFF"/>
                <w:lang w:eastAsia="en-AU"/>
              </w:rPr>
              <w:t>14</w:t>
            </w:r>
          </w:p>
        </w:tc>
        <w:tc>
          <w:tcPr>
            <w:tcW w:w="994" w:type="dxa"/>
            <w:tcBorders>
              <w:top w:val="single" w:sz="6" w:space="0" w:color="auto"/>
              <w:left w:val="nil"/>
              <w:bottom w:val="nil"/>
              <w:right w:val="nil"/>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2014</w:t>
            </w:r>
            <w:r>
              <w:rPr>
                <w:rFonts w:eastAsiaTheme="minorEastAsia"/>
                <w:iCs/>
                <w:color w:val="FFFFFF"/>
                <w:lang w:eastAsia="en-AU"/>
              </w:rPr>
              <w:noBreakHyphen/>
            </w:r>
            <w:r w:rsidRPr="00DA299C">
              <w:rPr>
                <w:rFonts w:eastAsiaTheme="minorEastAsia"/>
                <w:iCs/>
                <w:color w:val="FFFFFF"/>
                <w:lang w:eastAsia="en-AU"/>
              </w:rPr>
              <w:t>15</w:t>
            </w:r>
          </w:p>
        </w:tc>
        <w:tc>
          <w:tcPr>
            <w:tcW w:w="994" w:type="dxa"/>
            <w:tcBorders>
              <w:top w:val="single" w:sz="6" w:space="0" w:color="auto"/>
              <w:left w:val="nil"/>
              <w:bottom w:val="nil"/>
              <w:right w:val="nil"/>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2015</w:t>
            </w:r>
            <w:r>
              <w:rPr>
                <w:rFonts w:eastAsiaTheme="minorEastAsia"/>
                <w:iCs/>
                <w:color w:val="FFFFFF"/>
                <w:lang w:eastAsia="en-AU"/>
              </w:rPr>
              <w:noBreakHyphen/>
            </w:r>
            <w:r w:rsidRPr="00DA299C">
              <w:rPr>
                <w:rFonts w:eastAsiaTheme="minorEastAsia"/>
                <w:iCs/>
                <w:color w:val="FFFFFF"/>
                <w:lang w:eastAsia="en-AU"/>
              </w:rPr>
              <w:t>16</w:t>
            </w:r>
          </w:p>
        </w:tc>
        <w:tc>
          <w:tcPr>
            <w:tcW w:w="994" w:type="dxa"/>
            <w:tcBorders>
              <w:top w:val="single" w:sz="6" w:space="0" w:color="auto"/>
              <w:left w:val="nil"/>
              <w:bottom w:val="nil"/>
              <w:right w:val="single" w:sz="6" w:space="0" w:color="auto"/>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2016</w:t>
            </w:r>
            <w:r>
              <w:rPr>
                <w:rFonts w:eastAsiaTheme="minorEastAsia"/>
                <w:iCs/>
                <w:color w:val="FFFFFF"/>
                <w:lang w:eastAsia="en-AU"/>
              </w:rPr>
              <w:noBreakHyphen/>
            </w:r>
            <w:r w:rsidRPr="00DA299C">
              <w:rPr>
                <w:rFonts w:eastAsiaTheme="minorEastAsia"/>
                <w:iCs/>
                <w:color w:val="FFFFFF"/>
                <w:lang w:eastAsia="en-AU"/>
              </w:rPr>
              <w:t>17</w:t>
            </w:r>
          </w:p>
        </w:tc>
      </w:tr>
      <w:tr w:rsidR="00F60B5F" w:rsidRPr="00DA299C" w:rsidTr="00DA299C">
        <w:trPr>
          <w:cantSplit/>
          <w:tblHeader/>
        </w:trPr>
        <w:tc>
          <w:tcPr>
            <w:tcW w:w="2790" w:type="dxa"/>
            <w:tcBorders>
              <w:left w:val="single" w:sz="6" w:space="0" w:color="auto"/>
              <w:bottom w:val="single" w:sz="6" w:space="0" w:color="auto"/>
              <w:right w:val="nil"/>
            </w:tcBorders>
            <w:shd w:val="clear" w:color="000000" w:fill="000000"/>
          </w:tcPr>
          <w:p w:rsidR="00F60B5F" w:rsidRPr="00DA299C" w:rsidRDefault="00F60B5F" w:rsidP="00DA299C">
            <w:pPr>
              <w:pStyle w:val="Tabletext"/>
              <w:rPr>
                <w:rFonts w:eastAsiaTheme="minorEastAsia"/>
                <w:lang w:eastAsia="en-AU"/>
              </w:rPr>
            </w:pPr>
            <w:r w:rsidRPr="00DA299C">
              <w:rPr>
                <w:rFonts w:eastAsiaTheme="minorEastAsia"/>
                <w:lang w:eastAsia="en-AU"/>
              </w:rPr>
              <w:t xml:space="preserve"> </w:t>
            </w:r>
          </w:p>
        </w:tc>
        <w:tc>
          <w:tcPr>
            <w:tcW w:w="994" w:type="dxa"/>
            <w:tcBorders>
              <w:left w:val="nil"/>
              <w:bottom w:val="single" w:sz="6" w:space="0" w:color="auto"/>
              <w:right w:val="nil"/>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Budget</w:t>
            </w:r>
          </w:p>
        </w:tc>
        <w:tc>
          <w:tcPr>
            <w:tcW w:w="994" w:type="dxa"/>
            <w:tcBorders>
              <w:left w:val="nil"/>
              <w:bottom w:val="single" w:sz="6" w:space="0" w:color="auto"/>
              <w:right w:val="nil"/>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Revised</w:t>
            </w:r>
          </w:p>
        </w:tc>
        <w:tc>
          <w:tcPr>
            <w:tcW w:w="994" w:type="dxa"/>
            <w:tcBorders>
              <w:left w:val="nil"/>
              <w:bottom w:val="single" w:sz="6" w:space="0" w:color="auto"/>
              <w:right w:val="nil"/>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Estimate</w:t>
            </w:r>
          </w:p>
        </w:tc>
        <w:tc>
          <w:tcPr>
            <w:tcW w:w="994" w:type="dxa"/>
            <w:tcBorders>
              <w:left w:val="nil"/>
              <w:bottom w:val="single" w:sz="6" w:space="0" w:color="auto"/>
              <w:right w:val="nil"/>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Estimate</w:t>
            </w:r>
          </w:p>
        </w:tc>
        <w:tc>
          <w:tcPr>
            <w:tcW w:w="994" w:type="dxa"/>
            <w:tcBorders>
              <w:left w:val="nil"/>
              <w:bottom w:val="single" w:sz="6" w:space="0" w:color="auto"/>
              <w:right w:val="single" w:sz="6" w:space="0" w:color="auto"/>
            </w:tcBorders>
            <w:shd w:val="clear" w:color="000000" w:fill="000000"/>
          </w:tcPr>
          <w:p w:rsidR="00F60B5F" w:rsidRPr="00DA299C" w:rsidRDefault="00F60B5F" w:rsidP="00DA299C">
            <w:pPr>
              <w:pStyle w:val="Tabletextheading"/>
              <w:rPr>
                <w:rFonts w:eastAsiaTheme="minorEastAsia"/>
                <w:iCs/>
                <w:color w:val="FFFFFF"/>
                <w:lang w:eastAsia="en-AU"/>
              </w:rPr>
            </w:pPr>
            <w:r w:rsidRPr="00DA299C">
              <w:rPr>
                <w:rFonts w:eastAsiaTheme="minorEastAsia"/>
                <w:iCs/>
                <w:color w:val="FFFFFF"/>
                <w:lang w:eastAsia="en-AU"/>
              </w:rPr>
              <w:t>Estimate</w:t>
            </w:r>
          </w:p>
        </w:tc>
      </w:tr>
      <w:tr w:rsidR="00F60B5F" w:rsidRPr="00DA299C" w:rsidTr="00DA299C">
        <w:trPr>
          <w:cantSplit/>
        </w:trPr>
        <w:tc>
          <w:tcPr>
            <w:tcW w:w="2790" w:type="dxa"/>
            <w:tcBorders>
              <w:top w:val="single" w:sz="6" w:space="0" w:color="auto"/>
              <w:left w:val="nil"/>
              <w:bottom w:val="nil"/>
              <w:right w:val="nil"/>
            </w:tcBorders>
          </w:tcPr>
          <w:p w:rsidR="00F60B5F" w:rsidRPr="00DA299C" w:rsidRDefault="00F60B5F" w:rsidP="00DA299C">
            <w:pPr>
              <w:pStyle w:val="Tabletext"/>
              <w:rPr>
                <w:rFonts w:eastAsiaTheme="minorEastAsia"/>
                <w:b/>
                <w:lang w:eastAsia="en-AU"/>
              </w:rPr>
            </w:pPr>
            <w:r w:rsidRPr="00DA299C">
              <w:rPr>
                <w:rFonts w:eastAsiaTheme="minorEastAsia"/>
                <w:b/>
                <w:lang w:eastAsia="en-AU"/>
              </w:rPr>
              <w:t xml:space="preserve">Cash surplus/(deficit) </w:t>
            </w:r>
          </w:p>
        </w:tc>
        <w:tc>
          <w:tcPr>
            <w:tcW w:w="994" w:type="dxa"/>
            <w:tcBorders>
              <w:top w:val="single" w:sz="6" w:space="0" w:color="auto"/>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(1 717.1)</w:t>
            </w:r>
          </w:p>
        </w:tc>
        <w:tc>
          <w:tcPr>
            <w:tcW w:w="994" w:type="dxa"/>
            <w:tcBorders>
              <w:top w:val="single" w:sz="6" w:space="0" w:color="auto"/>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(1 204.3)</w:t>
            </w:r>
          </w:p>
        </w:tc>
        <w:tc>
          <w:tcPr>
            <w:tcW w:w="994" w:type="dxa"/>
            <w:tcBorders>
              <w:top w:val="single" w:sz="6" w:space="0" w:color="auto"/>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( 602.8)</w:t>
            </w:r>
          </w:p>
        </w:tc>
        <w:tc>
          <w:tcPr>
            <w:tcW w:w="994" w:type="dxa"/>
            <w:tcBorders>
              <w:top w:val="single" w:sz="6" w:space="0" w:color="auto"/>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2 036.8</w:t>
            </w:r>
          </w:p>
        </w:tc>
        <w:tc>
          <w:tcPr>
            <w:tcW w:w="994" w:type="dxa"/>
            <w:tcBorders>
              <w:top w:val="single" w:sz="6" w:space="0" w:color="auto"/>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1 502.9</w:t>
            </w:r>
          </w:p>
        </w:tc>
      </w:tr>
      <w:tr w:rsidR="00F60B5F" w:rsidRPr="00DA299C" w:rsidTr="00DA299C">
        <w:trPr>
          <w:cantSplit/>
          <w:trHeight w:hRule="exact" w:val="120"/>
        </w:trPr>
        <w:tc>
          <w:tcPr>
            <w:tcW w:w="2790" w:type="dxa"/>
            <w:tcBorders>
              <w:top w:val="nil"/>
              <w:left w:val="nil"/>
              <w:bottom w:val="nil"/>
              <w:right w:val="nil"/>
            </w:tcBorders>
          </w:tcPr>
          <w:p w:rsidR="00F60B5F" w:rsidRPr="00DA299C" w:rsidRDefault="00F60B5F" w:rsidP="00DA299C">
            <w:pPr>
              <w:pStyle w:val="Tabletext"/>
              <w:rPr>
                <w:rFonts w:eastAsiaTheme="minorEastAsia"/>
                <w:b/>
                <w:lang w:eastAsia="en-AU"/>
              </w:rPr>
            </w:pPr>
            <w:r w:rsidRPr="00DA299C">
              <w:rPr>
                <w:rFonts w:eastAsiaTheme="minorEastAsia"/>
                <w:b/>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b/>
                <w:lang w:eastAsia="en-AU"/>
              </w:rPr>
            </w:pPr>
            <w:r w:rsidRPr="00DA299C">
              <w:rPr>
                <w:rFonts w:eastAsiaTheme="minorEastAsia"/>
                <w:b/>
                <w:lang w:eastAsia="en-AU"/>
              </w:rPr>
              <w:t xml:space="preserve"> </w:t>
            </w:r>
          </w:p>
        </w:tc>
      </w:tr>
      <w:tr w:rsidR="00F60B5F" w:rsidRPr="00DA299C" w:rsidTr="00DA299C">
        <w:trPr>
          <w:cantSplit/>
        </w:trPr>
        <w:tc>
          <w:tcPr>
            <w:tcW w:w="2790" w:type="dxa"/>
            <w:tcBorders>
              <w:top w:val="nil"/>
              <w:left w:val="nil"/>
              <w:bottom w:val="nil"/>
              <w:right w:val="nil"/>
            </w:tcBorders>
          </w:tcPr>
          <w:p w:rsidR="00F60B5F" w:rsidRPr="00DA299C" w:rsidRDefault="00F60B5F" w:rsidP="00DA299C">
            <w:pPr>
              <w:pStyle w:val="Tabletext"/>
              <w:rPr>
                <w:rFonts w:eastAsiaTheme="minorEastAsia"/>
                <w:i/>
                <w:iCs/>
                <w:lang w:eastAsia="en-AU"/>
              </w:rPr>
            </w:pPr>
            <w:r w:rsidRPr="00DA299C">
              <w:rPr>
                <w:rFonts w:eastAsiaTheme="minorEastAsia"/>
                <w:i/>
                <w:iCs/>
                <w:lang w:eastAsia="en-AU"/>
              </w:rPr>
              <w:t>Convergence differences:</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xml:space="preserve"> </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xml:space="preserve"> </w:t>
            </w:r>
          </w:p>
        </w:tc>
      </w:tr>
      <w:tr w:rsidR="00F60B5F" w:rsidRPr="00DA299C" w:rsidTr="00DA299C">
        <w:trPr>
          <w:cantSplit/>
        </w:trPr>
        <w:tc>
          <w:tcPr>
            <w:tcW w:w="2790" w:type="dxa"/>
            <w:tcBorders>
              <w:top w:val="nil"/>
              <w:left w:val="nil"/>
              <w:bottom w:val="nil"/>
              <w:right w:val="nil"/>
            </w:tcBorders>
          </w:tcPr>
          <w:p w:rsidR="00F60B5F" w:rsidRPr="00DA299C" w:rsidRDefault="00F60B5F" w:rsidP="00DA299C">
            <w:pPr>
              <w:pStyle w:val="Tabletext"/>
              <w:rPr>
                <w:rFonts w:eastAsiaTheme="minorEastAsia"/>
                <w:lang w:eastAsia="en-AU"/>
              </w:rPr>
            </w:pPr>
            <w:r w:rsidRPr="00DA299C">
              <w:rPr>
                <w:rFonts w:eastAsiaTheme="minorEastAsia"/>
                <w:lang w:eastAsia="en-AU"/>
              </w:rPr>
              <w:t>Acquisitions under finance leases and similar arrangements</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( 111.0)</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( 36.4)</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(1 050.4)</w:t>
            </w:r>
          </w:p>
        </w:tc>
        <w:tc>
          <w:tcPr>
            <w:tcW w:w="994" w:type="dxa"/>
            <w:tcBorders>
              <w:top w:val="nil"/>
              <w:left w:val="nil"/>
              <w:bottom w:val="nil"/>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( 279.3)</w:t>
            </w:r>
          </w:p>
        </w:tc>
      </w:tr>
      <w:tr w:rsidR="00F60B5F" w:rsidRPr="00DA299C" w:rsidTr="00DA299C">
        <w:trPr>
          <w:cantSplit/>
        </w:trPr>
        <w:tc>
          <w:tcPr>
            <w:tcW w:w="2790" w:type="dxa"/>
            <w:tcBorders>
              <w:top w:val="single" w:sz="6" w:space="0" w:color="auto"/>
              <w:left w:val="nil"/>
              <w:bottom w:val="single" w:sz="6" w:space="0" w:color="auto"/>
              <w:right w:val="nil"/>
            </w:tcBorders>
          </w:tcPr>
          <w:p w:rsidR="00F60B5F" w:rsidRPr="00DA299C" w:rsidRDefault="00F60B5F" w:rsidP="00DA299C">
            <w:pPr>
              <w:pStyle w:val="Tabletext"/>
              <w:rPr>
                <w:rFonts w:eastAsiaTheme="minorEastAsia"/>
                <w:lang w:eastAsia="en-AU"/>
              </w:rPr>
            </w:pPr>
            <w:r w:rsidRPr="00DA299C">
              <w:rPr>
                <w:rFonts w:eastAsiaTheme="minorEastAsia"/>
                <w:lang w:eastAsia="en-AU"/>
              </w:rPr>
              <w:t xml:space="preserve">Total convergence differences </w:t>
            </w:r>
          </w:p>
        </w:tc>
        <w:tc>
          <w:tcPr>
            <w:tcW w:w="994" w:type="dxa"/>
            <w:tcBorders>
              <w:top w:val="single" w:sz="6" w:space="0" w:color="auto"/>
              <w:left w:val="nil"/>
              <w:bottom w:val="single" w:sz="6" w:space="0" w:color="auto"/>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w:t>
            </w:r>
          </w:p>
        </w:tc>
        <w:tc>
          <w:tcPr>
            <w:tcW w:w="994" w:type="dxa"/>
            <w:tcBorders>
              <w:top w:val="single" w:sz="6" w:space="0" w:color="auto"/>
              <w:left w:val="nil"/>
              <w:bottom w:val="single" w:sz="6" w:space="0" w:color="auto"/>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( 111.0)</w:t>
            </w:r>
          </w:p>
        </w:tc>
        <w:tc>
          <w:tcPr>
            <w:tcW w:w="994" w:type="dxa"/>
            <w:tcBorders>
              <w:top w:val="single" w:sz="6" w:space="0" w:color="auto"/>
              <w:left w:val="nil"/>
              <w:bottom w:val="single" w:sz="6" w:space="0" w:color="auto"/>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( 36.4)</w:t>
            </w:r>
          </w:p>
        </w:tc>
        <w:tc>
          <w:tcPr>
            <w:tcW w:w="994" w:type="dxa"/>
            <w:tcBorders>
              <w:top w:val="single" w:sz="6" w:space="0" w:color="auto"/>
              <w:left w:val="nil"/>
              <w:bottom w:val="single" w:sz="6" w:space="0" w:color="auto"/>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(1 050.4)</w:t>
            </w:r>
          </w:p>
        </w:tc>
        <w:tc>
          <w:tcPr>
            <w:tcW w:w="994" w:type="dxa"/>
            <w:tcBorders>
              <w:top w:val="single" w:sz="6" w:space="0" w:color="auto"/>
              <w:left w:val="nil"/>
              <w:bottom w:val="single" w:sz="6" w:space="0" w:color="auto"/>
              <w:right w:val="nil"/>
            </w:tcBorders>
          </w:tcPr>
          <w:p w:rsidR="00F60B5F" w:rsidRPr="00DA299C" w:rsidRDefault="00F60B5F" w:rsidP="00DA299C">
            <w:pPr>
              <w:pStyle w:val="TableofFigures"/>
              <w:rPr>
                <w:rFonts w:eastAsiaTheme="minorEastAsia"/>
                <w:lang w:eastAsia="en-AU"/>
              </w:rPr>
            </w:pPr>
            <w:r w:rsidRPr="00DA299C">
              <w:rPr>
                <w:rFonts w:eastAsiaTheme="minorEastAsia"/>
                <w:lang w:eastAsia="en-AU"/>
              </w:rPr>
              <w:t>( 279.3)</w:t>
            </w:r>
          </w:p>
        </w:tc>
      </w:tr>
      <w:tr w:rsidR="00F60B5F" w:rsidRPr="00DA299C" w:rsidTr="00DA299C">
        <w:trPr>
          <w:cantSplit/>
        </w:trPr>
        <w:tc>
          <w:tcPr>
            <w:tcW w:w="2790" w:type="dxa"/>
            <w:tcBorders>
              <w:top w:val="single" w:sz="6" w:space="0" w:color="auto"/>
              <w:left w:val="nil"/>
              <w:bottom w:val="single" w:sz="12" w:space="0" w:color="000000"/>
              <w:right w:val="nil"/>
            </w:tcBorders>
            <w:shd w:val="clear" w:color="auto" w:fill="auto"/>
          </w:tcPr>
          <w:p w:rsidR="00F60B5F" w:rsidRPr="00DA299C" w:rsidRDefault="00F60B5F" w:rsidP="00DA299C">
            <w:pPr>
              <w:pStyle w:val="Tabletext"/>
              <w:rPr>
                <w:rFonts w:eastAsiaTheme="minorEastAsia"/>
                <w:b/>
                <w:lang w:eastAsia="en-AU"/>
              </w:rPr>
            </w:pPr>
            <w:r w:rsidRPr="00DA299C">
              <w:rPr>
                <w:rFonts w:eastAsiaTheme="minorEastAsia"/>
                <w:b/>
                <w:lang w:eastAsia="en-AU"/>
              </w:rPr>
              <w:t>GFS cash surplus/(deficit)</w:t>
            </w:r>
          </w:p>
        </w:tc>
        <w:tc>
          <w:tcPr>
            <w:tcW w:w="994" w:type="dxa"/>
            <w:tcBorders>
              <w:top w:val="single" w:sz="6" w:space="0" w:color="auto"/>
              <w:left w:val="nil"/>
              <w:bottom w:val="single" w:sz="12" w:space="0" w:color="000000"/>
              <w:right w:val="nil"/>
            </w:tcBorders>
            <w:shd w:val="clear" w:color="auto" w:fill="auto"/>
          </w:tcPr>
          <w:p w:rsidR="00F60B5F" w:rsidRPr="00DA299C" w:rsidRDefault="00F60B5F" w:rsidP="00DA299C">
            <w:pPr>
              <w:pStyle w:val="TableofFigures"/>
              <w:rPr>
                <w:rFonts w:eastAsiaTheme="minorEastAsia"/>
                <w:b/>
                <w:lang w:eastAsia="en-AU"/>
              </w:rPr>
            </w:pPr>
            <w:r w:rsidRPr="00DA299C">
              <w:rPr>
                <w:rFonts w:eastAsiaTheme="minorEastAsia"/>
                <w:b/>
                <w:lang w:eastAsia="en-AU"/>
              </w:rPr>
              <w:t>(1 717.1)</w:t>
            </w:r>
          </w:p>
        </w:tc>
        <w:tc>
          <w:tcPr>
            <w:tcW w:w="994" w:type="dxa"/>
            <w:tcBorders>
              <w:top w:val="single" w:sz="6" w:space="0" w:color="auto"/>
              <w:left w:val="nil"/>
              <w:bottom w:val="single" w:sz="12" w:space="0" w:color="000000"/>
              <w:right w:val="nil"/>
            </w:tcBorders>
            <w:shd w:val="clear" w:color="auto" w:fill="auto"/>
          </w:tcPr>
          <w:p w:rsidR="00F60B5F" w:rsidRPr="00DA299C" w:rsidRDefault="00F60B5F" w:rsidP="00DA299C">
            <w:pPr>
              <w:pStyle w:val="TableofFigures"/>
              <w:rPr>
                <w:rFonts w:eastAsiaTheme="minorEastAsia"/>
                <w:b/>
                <w:lang w:eastAsia="en-AU"/>
              </w:rPr>
            </w:pPr>
            <w:r w:rsidRPr="00DA299C">
              <w:rPr>
                <w:rFonts w:eastAsiaTheme="minorEastAsia"/>
                <w:b/>
                <w:lang w:eastAsia="en-AU"/>
              </w:rPr>
              <w:t>(1 315.3)</w:t>
            </w:r>
          </w:p>
        </w:tc>
        <w:tc>
          <w:tcPr>
            <w:tcW w:w="994" w:type="dxa"/>
            <w:tcBorders>
              <w:top w:val="single" w:sz="6" w:space="0" w:color="auto"/>
              <w:left w:val="nil"/>
              <w:bottom w:val="single" w:sz="12" w:space="0" w:color="000000"/>
              <w:right w:val="nil"/>
            </w:tcBorders>
            <w:shd w:val="clear" w:color="auto" w:fill="auto"/>
          </w:tcPr>
          <w:p w:rsidR="00F60B5F" w:rsidRPr="00DA299C" w:rsidRDefault="00F60B5F" w:rsidP="00DA299C">
            <w:pPr>
              <w:pStyle w:val="TableofFigures"/>
              <w:rPr>
                <w:rFonts w:eastAsiaTheme="minorEastAsia"/>
                <w:b/>
                <w:lang w:eastAsia="en-AU"/>
              </w:rPr>
            </w:pPr>
            <w:r w:rsidRPr="00DA299C">
              <w:rPr>
                <w:rFonts w:eastAsiaTheme="minorEastAsia"/>
                <w:b/>
                <w:lang w:eastAsia="en-AU"/>
              </w:rPr>
              <w:t>( 639.3)</w:t>
            </w:r>
          </w:p>
        </w:tc>
        <w:tc>
          <w:tcPr>
            <w:tcW w:w="994" w:type="dxa"/>
            <w:tcBorders>
              <w:top w:val="single" w:sz="6" w:space="0" w:color="auto"/>
              <w:left w:val="nil"/>
              <w:bottom w:val="single" w:sz="12" w:space="0" w:color="000000"/>
              <w:right w:val="nil"/>
            </w:tcBorders>
            <w:shd w:val="clear" w:color="auto" w:fill="auto"/>
          </w:tcPr>
          <w:p w:rsidR="00F60B5F" w:rsidRPr="00DA299C" w:rsidRDefault="00F60B5F" w:rsidP="00DA299C">
            <w:pPr>
              <w:pStyle w:val="TableofFigures"/>
              <w:rPr>
                <w:rFonts w:eastAsiaTheme="minorEastAsia"/>
                <w:b/>
                <w:lang w:eastAsia="en-AU"/>
              </w:rPr>
            </w:pPr>
            <w:r w:rsidRPr="00DA299C">
              <w:rPr>
                <w:rFonts w:eastAsiaTheme="minorEastAsia"/>
                <w:b/>
                <w:lang w:eastAsia="en-AU"/>
              </w:rPr>
              <w:t xml:space="preserve"> 986.4</w:t>
            </w:r>
          </w:p>
        </w:tc>
        <w:tc>
          <w:tcPr>
            <w:tcW w:w="994" w:type="dxa"/>
            <w:tcBorders>
              <w:top w:val="single" w:sz="6" w:space="0" w:color="auto"/>
              <w:left w:val="nil"/>
              <w:bottom w:val="single" w:sz="12" w:space="0" w:color="000000"/>
              <w:right w:val="nil"/>
            </w:tcBorders>
            <w:shd w:val="clear" w:color="auto" w:fill="auto"/>
          </w:tcPr>
          <w:p w:rsidR="00F60B5F" w:rsidRPr="00DA299C" w:rsidRDefault="00F60B5F" w:rsidP="00DA299C">
            <w:pPr>
              <w:pStyle w:val="TableofFigures"/>
              <w:rPr>
                <w:rFonts w:eastAsiaTheme="minorEastAsia"/>
                <w:b/>
                <w:lang w:eastAsia="en-AU"/>
              </w:rPr>
            </w:pPr>
            <w:r w:rsidRPr="00DA299C">
              <w:rPr>
                <w:rFonts w:eastAsiaTheme="minorEastAsia"/>
                <w:b/>
                <w:lang w:eastAsia="en-AU"/>
              </w:rPr>
              <w:t>1 223.6</w:t>
            </w:r>
          </w:p>
        </w:tc>
      </w:tr>
    </w:tbl>
    <w:p w:rsidR="00F60B5F" w:rsidRPr="00B56B1C" w:rsidRDefault="00F60B5F" w:rsidP="00DA299C">
      <w:pPr>
        <w:pStyle w:val="Notes"/>
      </w:pPr>
      <w:bookmarkStart w:id="49" w:name="_Toc373751830"/>
    </w:p>
    <w:p w:rsidR="00F60B5F" w:rsidRPr="00B56B1C" w:rsidRDefault="00F60B5F" w:rsidP="006A2056">
      <w:pPr>
        <w:pStyle w:val="Heading2Notes"/>
      </w:pPr>
      <w:r w:rsidRPr="00B56B1C">
        <w:t>Note 24:</w:t>
      </w:r>
      <w:r w:rsidRPr="00B56B1C">
        <w:tab/>
        <w:t>Financial instruments</w:t>
      </w:r>
      <w:bookmarkEnd w:id="49"/>
    </w:p>
    <w:p w:rsidR="00F60B5F" w:rsidRPr="00B56B1C" w:rsidRDefault="00F60B5F" w:rsidP="00172054">
      <w:r w:rsidRPr="00B56B1C">
        <w:t xml:space="preserve">The </w:t>
      </w:r>
      <w:r w:rsidRPr="00B56B1C">
        <w:rPr>
          <w:i/>
        </w:rPr>
        <w:t xml:space="preserve">Annual Financial Report </w:t>
      </w:r>
      <w:r w:rsidRPr="00B56B1C">
        <w:t xml:space="preserve">of the </w:t>
      </w:r>
      <w:r w:rsidRPr="00B56B1C">
        <w:rPr>
          <w:i/>
        </w:rPr>
        <w:t>2012</w:t>
      </w:r>
      <w:r>
        <w:rPr>
          <w:i/>
        </w:rPr>
        <w:noBreakHyphen/>
      </w:r>
      <w:r w:rsidRPr="00B56B1C">
        <w:rPr>
          <w:i/>
        </w:rPr>
        <w:t>13 Financial Report</w:t>
      </w:r>
      <w:r w:rsidRPr="00B56B1C">
        <w:t xml:space="preserve"> (Note 32) contains a comprehensive disclosure of the State’s financial risk management objectives and policies</w:t>
      </w:r>
      <w:r>
        <w:t xml:space="preserve">. </w:t>
      </w:r>
      <w:r w:rsidRPr="00B56B1C">
        <w:t>There has been no substantive change to the accounting classification of financial assets and liabilities reported in the</w:t>
      </w:r>
      <w:r w:rsidRPr="00B56B1C">
        <w:rPr>
          <w:i/>
        </w:rPr>
        <w:t xml:space="preserve"> Annual Financial Report </w:t>
      </w:r>
      <w:r w:rsidRPr="00B56B1C">
        <w:t xml:space="preserve">of the </w:t>
      </w:r>
      <w:r w:rsidRPr="00B56B1C">
        <w:rPr>
          <w:i/>
        </w:rPr>
        <w:t>2012</w:t>
      </w:r>
      <w:r>
        <w:rPr>
          <w:i/>
        </w:rPr>
        <w:noBreakHyphen/>
      </w:r>
      <w:r w:rsidRPr="00B56B1C">
        <w:rPr>
          <w:i/>
        </w:rPr>
        <w:t>13 Financial Report</w:t>
      </w:r>
      <w:r w:rsidRPr="00B56B1C">
        <w:t>.</w:t>
      </w:r>
    </w:p>
    <w:p w:rsidR="00F60B5F" w:rsidRPr="00B56B1C" w:rsidRDefault="00F60B5F" w:rsidP="006A2056"/>
    <w:p w:rsidR="00F60B5F" w:rsidRPr="00B56B1C" w:rsidRDefault="00F60B5F" w:rsidP="00396B8E">
      <w:pPr>
        <w:pStyle w:val="Heading2Notes"/>
      </w:pPr>
      <w:bookmarkStart w:id="50" w:name="_Toc373751831"/>
      <w:r w:rsidRPr="00B56B1C">
        <w:t>Note 25:</w:t>
      </w:r>
      <w:r w:rsidRPr="00B56B1C">
        <w:tab/>
        <w:t>Controlled entities</w:t>
      </w:r>
      <w:bookmarkEnd w:id="50"/>
    </w:p>
    <w:p w:rsidR="00F60B5F" w:rsidRPr="00B56B1C" w:rsidRDefault="00F60B5F" w:rsidP="00045F41">
      <w:r w:rsidRPr="00B56B1C">
        <w:t xml:space="preserve">Note 41 </w:t>
      </w:r>
      <w:r w:rsidRPr="00B56B1C">
        <w:rPr>
          <w:i/>
        </w:rPr>
        <w:t xml:space="preserve">Controlled Entities </w:t>
      </w:r>
      <w:r w:rsidRPr="00B56B1C">
        <w:t>in the</w:t>
      </w:r>
      <w:r w:rsidRPr="00B56B1C">
        <w:rPr>
          <w:i/>
        </w:rPr>
        <w:t xml:space="preserve"> Annual Financial Report </w:t>
      </w:r>
      <w:r w:rsidRPr="00B56B1C">
        <w:t xml:space="preserve">of the </w:t>
      </w:r>
      <w:r w:rsidRPr="00B56B1C">
        <w:rPr>
          <w:i/>
        </w:rPr>
        <w:t>2012</w:t>
      </w:r>
      <w:r>
        <w:rPr>
          <w:i/>
        </w:rPr>
        <w:noBreakHyphen/>
      </w:r>
      <w:r w:rsidRPr="00B56B1C">
        <w:rPr>
          <w:i/>
        </w:rPr>
        <w:t>13 Financial Report</w:t>
      </w:r>
      <w:r w:rsidRPr="00B56B1C">
        <w:t xml:space="preserve"> for the State of Victoria contains a list of significant controlled entities which have been consolidated for the purposes of the financial report.</w:t>
      </w:r>
    </w:p>
    <w:p w:rsidR="00F60B5F" w:rsidRPr="00B56B1C" w:rsidRDefault="00F60B5F" w:rsidP="00045F41">
      <w:r w:rsidRPr="00B56B1C">
        <w:t xml:space="preserve">The following is a list of changes from 1 July 2013, of general government sector entities which have been consolidated for the purposes of the </w:t>
      </w:r>
      <w:r>
        <w:t>estimated financial statements</w:t>
      </w:r>
      <w:r w:rsidRPr="00B56B1C">
        <w:t>.</w:t>
      </w:r>
    </w:p>
    <w:tbl>
      <w:tblPr>
        <w:tblW w:w="7755" w:type="dxa"/>
        <w:tblInd w:w="29" w:type="dxa"/>
        <w:tblLayout w:type="fixed"/>
        <w:tblCellMar>
          <w:left w:w="43" w:type="dxa"/>
          <w:right w:w="43" w:type="dxa"/>
        </w:tblCellMar>
        <w:tblLook w:val="0000" w:firstRow="0" w:lastRow="0" w:firstColumn="0" w:lastColumn="0" w:noHBand="0" w:noVBand="0"/>
      </w:tblPr>
      <w:tblGrid>
        <w:gridCol w:w="3558"/>
        <w:gridCol w:w="1220"/>
        <w:gridCol w:w="1559"/>
        <w:gridCol w:w="1418"/>
      </w:tblGrid>
      <w:tr w:rsidR="00F60B5F" w:rsidRPr="005C751E" w:rsidTr="000C5ADC">
        <w:trPr>
          <w:cantSplit/>
          <w:tblHeader/>
        </w:trPr>
        <w:tc>
          <w:tcPr>
            <w:tcW w:w="3558" w:type="dxa"/>
            <w:tcBorders>
              <w:top w:val="single" w:sz="6" w:space="0" w:color="auto"/>
              <w:left w:val="single" w:sz="6" w:space="0" w:color="auto"/>
              <w:right w:val="nil"/>
            </w:tcBorders>
            <w:shd w:val="clear" w:color="auto" w:fill="000000"/>
            <w:vAlign w:val="bottom"/>
          </w:tcPr>
          <w:p w:rsidR="00F60B5F" w:rsidRPr="005C751E" w:rsidRDefault="00F60B5F" w:rsidP="009F309A">
            <w:pPr>
              <w:pStyle w:val="Tabletextheadingleft"/>
              <w:rPr>
                <w:sz w:val="19"/>
                <w:szCs w:val="19"/>
                <w:lang w:eastAsia="en-AU"/>
              </w:rPr>
            </w:pPr>
          </w:p>
        </w:tc>
        <w:tc>
          <w:tcPr>
            <w:tcW w:w="1220" w:type="dxa"/>
            <w:tcBorders>
              <w:top w:val="single" w:sz="6" w:space="0" w:color="auto"/>
              <w:left w:val="nil"/>
              <w:right w:val="nil"/>
            </w:tcBorders>
            <w:shd w:val="clear" w:color="auto" w:fill="000000"/>
          </w:tcPr>
          <w:p w:rsidR="00F60B5F" w:rsidRPr="005C751E" w:rsidRDefault="00F60B5F" w:rsidP="009F309A">
            <w:pPr>
              <w:pStyle w:val="Tabletextheadingcentred"/>
              <w:rPr>
                <w:sz w:val="19"/>
                <w:szCs w:val="19"/>
                <w:lang w:eastAsia="en-AU"/>
              </w:rPr>
            </w:pPr>
            <w:r w:rsidRPr="005C751E">
              <w:rPr>
                <w:sz w:val="19"/>
                <w:szCs w:val="19"/>
                <w:lang w:eastAsia="en-AU"/>
              </w:rPr>
              <w:t> </w:t>
            </w:r>
          </w:p>
        </w:tc>
        <w:tc>
          <w:tcPr>
            <w:tcW w:w="2977" w:type="dxa"/>
            <w:gridSpan w:val="2"/>
            <w:tcBorders>
              <w:top w:val="single" w:sz="6" w:space="0" w:color="auto"/>
              <w:left w:val="nil"/>
              <w:right w:val="single" w:sz="6" w:space="0" w:color="auto"/>
            </w:tcBorders>
            <w:shd w:val="clear" w:color="auto" w:fill="000000"/>
          </w:tcPr>
          <w:p w:rsidR="00F60B5F" w:rsidRPr="005C751E" w:rsidRDefault="00F60B5F" w:rsidP="009F309A">
            <w:pPr>
              <w:pStyle w:val="Tabletextheadingcentred"/>
              <w:rPr>
                <w:sz w:val="19"/>
                <w:szCs w:val="19"/>
                <w:lang w:eastAsia="en-AU"/>
              </w:rPr>
            </w:pPr>
            <w:r w:rsidRPr="005C751E">
              <w:rPr>
                <w:sz w:val="19"/>
                <w:szCs w:val="19"/>
                <w:lang w:eastAsia="en-AU"/>
              </w:rPr>
              <w:t>Entities included as</w:t>
            </w:r>
            <w:r w:rsidRPr="005C751E">
              <w:rPr>
                <w:sz w:val="19"/>
                <w:szCs w:val="19"/>
                <w:lang w:eastAsia="en-AU"/>
              </w:rPr>
              <w:br/>
              <w:t xml:space="preserve"> investments in other sectors</w:t>
            </w:r>
          </w:p>
        </w:tc>
      </w:tr>
      <w:tr w:rsidR="00F60B5F" w:rsidRPr="005C751E" w:rsidTr="000C5ADC">
        <w:trPr>
          <w:cantSplit/>
          <w:tblHeader/>
        </w:trPr>
        <w:tc>
          <w:tcPr>
            <w:tcW w:w="3558" w:type="dxa"/>
            <w:tcBorders>
              <w:left w:val="single" w:sz="6" w:space="0" w:color="auto"/>
              <w:bottom w:val="single" w:sz="6" w:space="0" w:color="auto"/>
              <w:right w:val="nil"/>
            </w:tcBorders>
            <w:shd w:val="clear" w:color="auto" w:fill="000000"/>
            <w:vAlign w:val="bottom"/>
          </w:tcPr>
          <w:p w:rsidR="00F60B5F" w:rsidRPr="005C751E" w:rsidRDefault="00F60B5F" w:rsidP="009F309A">
            <w:pPr>
              <w:pStyle w:val="Tabletextheadingleft"/>
              <w:rPr>
                <w:sz w:val="19"/>
                <w:szCs w:val="19"/>
                <w:lang w:eastAsia="en-AU"/>
              </w:rPr>
            </w:pPr>
            <w:r w:rsidRPr="005C751E">
              <w:rPr>
                <w:sz w:val="19"/>
                <w:szCs w:val="19"/>
                <w:lang w:eastAsia="en-AU"/>
              </w:rPr>
              <w:t xml:space="preserve">Controlled entities </w:t>
            </w:r>
            <w:r w:rsidRPr="005C751E">
              <w:rPr>
                <w:sz w:val="19"/>
                <w:szCs w:val="19"/>
                <w:vertAlign w:val="superscript"/>
                <w:lang w:eastAsia="en-AU"/>
              </w:rPr>
              <w:t>(a)</w:t>
            </w:r>
          </w:p>
        </w:tc>
        <w:tc>
          <w:tcPr>
            <w:tcW w:w="1220" w:type="dxa"/>
            <w:tcBorders>
              <w:left w:val="nil"/>
              <w:bottom w:val="single" w:sz="6" w:space="0" w:color="auto"/>
              <w:right w:val="nil"/>
            </w:tcBorders>
            <w:shd w:val="clear" w:color="auto" w:fill="000000"/>
            <w:vAlign w:val="bottom"/>
          </w:tcPr>
          <w:p w:rsidR="00F60B5F" w:rsidRPr="005C751E" w:rsidRDefault="00F60B5F" w:rsidP="009F309A">
            <w:pPr>
              <w:pStyle w:val="Tabletextheadingcentred"/>
              <w:rPr>
                <w:sz w:val="19"/>
                <w:szCs w:val="19"/>
                <w:lang w:eastAsia="en-AU"/>
              </w:rPr>
            </w:pPr>
            <w:r w:rsidRPr="005C751E">
              <w:rPr>
                <w:sz w:val="19"/>
                <w:szCs w:val="19"/>
                <w:lang w:eastAsia="en-AU"/>
              </w:rPr>
              <w:t>General government</w:t>
            </w:r>
          </w:p>
        </w:tc>
        <w:tc>
          <w:tcPr>
            <w:tcW w:w="1559" w:type="dxa"/>
            <w:tcBorders>
              <w:left w:val="nil"/>
              <w:bottom w:val="single" w:sz="6" w:space="0" w:color="auto"/>
              <w:right w:val="nil"/>
            </w:tcBorders>
            <w:shd w:val="clear" w:color="auto" w:fill="000000"/>
          </w:tcPr>
          <w:p w:rsidR="00F60B5F" w:rsidRPr="005C751E" w:rsidRDefault="00F60B5F" w:rsidP="009F309A">
            <w:pPr>
              <w:pStyle w:val="Tabletextheadingcentred"/>
              <w:rPr>
                <w:sz w:val="19"/>
                <w:szCs w:val="19"/>
                <w:lang w:eastAsia="en-AU"/>
              </w:rPr>
            </w:pPr>
            <w:r w:rsidRPr="005C751E">
              <w:rPr>
                <w:sz w:val="19"/>
                <w:szCs w:val="19"/>
                <w:lang w:eastAsia="en-AU"/>
              </w:rPr>
              <w:t>Public non</w:t>
            </w:r>
            <w:r>
              <w:rPr>
                <w:sz w:val="19"/>
                <w:szCs w:val="19"/>
                <w:lang w:eastAsia="en-AU"/>
              </w:rPr>
              <w:noBreakHyphen/>
            </w:r>
            <w:r w:rsidRPr="005C751E">
              <w:rPr>
                <w:sz w:val="19"/>
                <w:szCs w:val="19"/>
                <w:lang w:eastAsia="en-AU"/>
              </w:rPr>
              <w:t>financial corporation</w:t>
            </w:r>
          </w:p>
        </w:tc>
        <w:tc>
          <w:tcPr>
            <w:tcW w:w="1418" w:type="dxa"/>
            <w:tcBorders>
              <w:left w:val="nil"/>
              <w:bottom w:val="single" w:sz="6" w:space="0" w:color="auto"/>
              <w:right w:val="single" w:sz="6" w:space="0" w:color="auto"/>
            </w:tcBorders>
            <w:shd w:val="clear" w:color="auto" w:fill="000000"/>
            <w:vAlign w:val="bottom"/>
          </w:tcPr>
          <w:p w:rsidR="00F60B5F" w:rsidRPr="005C751E" w:rsidRDefault="00F60B5F" w:rsidP="009F309A">
            <w:pPr>
              <w:pStyle w:val="Tabletextheadingcentred"/>
              <w:rPr>
                <w:sz w:val="19"/>
                <w:szCs w:val="19"/>
                <w:lang w:eastAsia="en-AU"/>
              </w:rPr>
            </w:pPr>
            <w:r w:rsidRPr="005C751E">
              <w:rPr>
                <w:sz w:val="19"/>
                <w:szCs w:val="19"/>
                <w:lang w:eastAsia="en-AU"/>
              </w:rPr>
              <w:t>Public financial corporation</w:t>
            </w:r>
          </w:p>
        </w:tc>
      </w:tr>
      <w:tr w:rsidR="00F60B5F" w:rsidRPr="005C751E" w:rsidTr="009F309A">
        <w:trPr>
          <w:cantSplit/>
        </w:trPr>
        <w:tc>
          <w:tcPr>
            <w:tcW w:w="3558" w:type="dxa"/>
            <w:tcBorders>
              <w:top w:val="nil"/>
              <w:left w:val="nil"/>
              <w:bottom w:val="nil"/>
              <w:right w:val="nil"/>
            </w:tcBorders>
          </w:tcPr>
          <w:p w:rsidR="00F60B5F" w:rsidRPr="005C751E" w:rsidRDefault="00F60B5F" w:rsidP="000F63F5">
            <w:pPr>
              <w:spacing w:after="0"/>
              <w:rPr>
                <w:rFonts w:ascii="Calibri" w:hAnsi="Calibri"/>
                <w:bCs/>
                <w:sz w:val="19"/>
                <w:szCs w:val="19"/>
                <w:lang w:eastAsia="en-AU"/>
              </w:rPr>
            </w:pPr>
            <w:r w:rsidRPr="005C751E">
              <w:rPr>
                <w:rFonts w:ascii="Calibri" w:hAnsi="Calibri"/>
                <w:b/>
                <w:bCs/>
                <w:sz w:val="19"/>
                <w:szCs w:val="19"/>
                <w:lang w:eastAsia="en-AU"/>
              </w:rPr>
              <w:t>Department of Education and Early Childhood Development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5A2919">
            <w:pPr>
              <w:pStyle w:val="Tabletext"/>
              <w:ind w:left="113" w:hanging="113"/>
              <w:rPr>
                <w:sz w:val="19"/>
                <w:szCs w:val="19"/>
                <w:lang w:eastAsia="en-AU"/>
              </w:rPr>
            </w:pPr>
            <w:r w:rsidRPr="005C751E">
              <w:rPr>
                <w:sz w:val="19"/>
                <w:szCs w:val="19"/>
                <w:lang w:eastAsia="en-AU"/>
              </w:rPr>
              <w:t>TAFE Division:</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C16AB">
            <w:pPr>
              <w:pStyle w:val="Tabletext"/>
              <w:ind w:left="113" w:hanging="113"/>
              <w:rPr>
                <w:sz w:val="19"/>
                <w:szCs w:val="19"/>
                <w:lang w:eastAsia="en-AU"/>
              </w:rPr>
            </w:pPr>
            <w:r>
              <w:rPr>
                <w:sz w:val="19"/>
                <w:szCs w:val="19"/>
                <w:lang w:eastAsia="en-AU"/>
              </w:rPr>
              <w:tab/>
            </w:r>
            <w:r w:rsidRPr="005C751E">
              <w:rPr>
                <w:sz w:val="19"/>
                <w:szCs w:val="19"/>
                <w:lang w:eastAsia="en-AU"/>
              </w:rPr>
              <w:t xml:space="preserve">Royal Melbourne Institute of Technology </w:t>
            </w:r>
            <w:r w:rsidRPr="005C751E">
              <w:rPr>
                <w:sz w:val="19"/>
                <w:szCs w:val="19"/>
                <w:vertAlign w:val="superscript"/>
                <w:lang w:eastAsia="en-AU"/>
              </w:rPr>
              <w:t>(b)</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F63F5">
            <w:pPr>
              <w:pStyle w:val="Tabletext"/>
              <w:ind w:left="113" w:hanging="113"/>
              <w:rPr>
                <w:sz w:val="19"/>
                <w:szCs w:val="19"/>
                <w:lang w:eastAsia="en-AU"/>
              </w:rPr>
            </w:pPr>
            <w:r>
              <w:rPr>
                <w:sz w:val="19"/>
                <w:szCs w:val="19"/>
                <w:lang w:eastAsia="en-AU"/>
              </w:rPr>
              <w:tab/>
            </w:r>
            <w:r w:rsidRPr="005C751E">
              <w:rPr>
                <w:sz w:val="19"/>
                <w:szCs w:val="19"/>
                <w:lang w:eastAsia="en-AU"/>
              </w:rPr>
              <w:t xml:space="preserve">Swinburne University of Technology </w:t>
            </w:r>
            <w:r w:rsidRPr="005C751E">
              <w:rPr>
                <w:sz w:val="19"/>
                <w:szCs w:val="19"/>
                <w:vertAlign w:val="superscript"/>
                <w:lang w:eastAsia="en-AU"/>
              </w:rPr>
              <w:t>(b)</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C16AB">
            <w:pPr>
              <w:pStyle w:val="Tabletext"/>
              <w:ind w:left="113" w:hanging="113"/>
              <w:rPr>
                <w:sz w:val="19"/>
                <w:szCs w:val="19"/>
                <w:lang w:eastAsia="en-AU"/>
              </w:rPr>
            </w:pPr>
            <w:r>
              <w:rPr>
                <w:sz w:val="19"/>
                <w:szCs w:val="19"/>
                <w:lang w:eastAsia="en-AU"/>
              </w:rPr>
              <w:tab/>
            </w:r>
            <w:r w:rsidRPr="005C751E">
              <w:rPr>
                <w:sz w:val="19"/>
                <w:szCs w:val="19"/>
                <w:lang w:eastAsia="en-AU"/>
              </w:rPr>
              <w:t xml:space="preserve">University of Ballarat </w:t>
            </w:r>
            <w:r w:rsidRPr="005C751E">
              <w:rPr>
                <w:sz w:val="19"/>
                <w:szCs w:val="19"/>
                <w:vertAlign w:val="superscript"/>
                <w:lang w:eastAsia="en-AU"/>
              </w:rPr>
              <w:t>(b)</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C16AB">
            <w:pPr>
              <w:pStyle w:val="Tabletext"/>
              <w:ind w:left="113" w:hanging="113"/>
              <w:rPr>
                <w:sz w:val="19"/>
                <w:szCs w:val="19"/>
                <w:lang w:eastAsia="en-AU"/>
              </w:rPr>
            </w:pPr>
            <w:r>
              <w:rPr>
                <w:sz w:val="19"/>
                <w:szCs w:val="19"/>
                <w:lang w:eastAsia="en-AU"/>
              </w:rPr>
              <w:tab/>
            </w:r>
            <w:r w:rsidRPr="005C751E">
              <w:rPr>
                <w:sz w:val="19"/>
                <w:szCs w:val="19"/>
                <w:lang w:eastAsia="en-AU"/>
              </w:rPr>
              <w:t xml:space="preserve">Victoria University </w:t>
            </w:r>
            <w:r w:rsidRPr="005C751E">
              <w:rPr>
                <w:sz w:val="19"/>
                <w:szCs w:val="19"/>
                <w:vertAlign w:val="superscript"/>
                <w:lang w:eastAsia="en-AU"/>
              </w:rPr>
              <w:t>(b)</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b/>
                <w:sz w:val="19"/>
                <w:szCs w:val="19"/>
                <w:lang w:eastAsia="en-AU"/>
              </w:rPr>
            </w:pPr>
            <w:r w:rsidRPr="005C751E">
              <w:rPr>
                <w:b/>
                <w:sz w:val="19"/>
                <w:szCs w:val="19"/>
                <w:lang w:eastAsia="en-AU"/>
              </w:rPr>
              <w:t>Department of Environment and Primary Industries</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113" w:hanging="113"/>
              <w:rPr>
                <w:sz w:val="19"/>
                <w:szCs w:val="19"/>
                <w:lang w:eastAsia="en-AU"/>
              </w:rPr>
            </w:pPr>
            <w:r w:rsidRPr="005C751E">
              <w:rPr>
                <w:sz w:val="19"/>
                <w:szCs w:val="19"/>
                <w:lang w:eastAsia="en-AU"/>
              </w:rPr>
              <w:t xml:space="preserve">Veterinary Practitioners Registration Board of Victoria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sz w:val="19"/>
                <w:szCs w:val="19"/>
                <w:lang w:eastAsia="en-AU"/>
              </w:rPr>
            </w:pPr>
            <w:r w:rsidRPr="005C751E">
              <w:rPr>
                <w:sz w:val="19"/>
                <w:szCs w:val="19"/>
                <w:lang w:eastAsia="en-AU"/>
              </w:rPr>
              <w:t xml:space="preserve">Agriculture Victoria Services Pty Ltd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F63F5">
            <w:pPr>
              <w:pStyle w:val="Tabletext"/>
              <w:ind w:left="0" w:firstLine="0"/>
              <w:rPr>
                <w:sz w:val="19"/>
                <w:szCs w:val="19"/>
                <w:lang w:eastAsia="en-AU"/>
              </w:rPr>
            </w:pPr>
            <w:r w:rsidRPr="005C751E">
              <w:rPr>
                <w:sz w:val="19"/>
                <w:szCs w:val="19"/>
                <w:lang w:eastAsia="en-AU"/>
              </w:rPr>
              <w:t xml:space="preserve">Dairy Food Safety Victoria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sz w:val="19"/>
                <w:szCs w:val="19"/>
                <w:lang w:eastAsia="en-AU"/>
              </w:rPr>
            </w:pPr>
            <w:r w:rsidRPr="005C751E">
              <w:rPr>
                <w:sz w:val="19"/>
                <w:szCs w:val="19"/>
                <w:lang w:eastAsia="en-AU"/>
              </w:rPr>
              <w:t xml:space="preserve">Murray Valley Citrus Board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rPr>
                <w:sz w:val="19"/>
                <w:szCs w:val="19"/>
                <w:lang w:eastAsia="en-AU"/>
              </w:rPr>
            </w:pPr>
            <w:r w:rsidRPr="005C751E">
              <w:rPr>
                <w:sz w:val="19"/>
                <w:szCs w:val="19"/>
                <w:lang w:eastAsia="en-AU"/>
              </w:rPr>
              <w:t>Murray Valley Wine Grape Industry Development Committee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F63F5">
            <w:pPr>
              <w:pStyle w:val="Tabletext"/>
              <w:rPr>
                <w:sz w:val="19"/>
                <w:szCs w:val="19"/>
                <w:lang w:eastAsia="en-AU"/>
              </w:rPr>
            </w:pPr>
            <w:r w:rsidRPr="005C751E">
              <w:rPr>
                <w:sz w:val="19"/>
                <w:szCs w:val="19"/>
                <w:lang w:eastAsia="en-AU"/>
              </w:rPr>
              <w:t xml:space="preserve">Northern Victorian Fresh Tomato Industry Development Committee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sz w:val="19"/>
                <w:szCs w:val="19"/>
                <w:lang w:eastAsia="en-AU"/>
              </w:rPr>
            </w:pPr>
            <w:r w:rsidRPr="005C751E">
              <w:rPr>
                <w:sz w:val="19"/>
                <w:szCs w:val="19"/>
                <w:lang w:eastAsia="en-AU"/>
              </w:rPr>
              <w:t xml:space="preserve">Phytogene Pty Ltd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sz w:val="19"/>
                <w:szCs w:val="19"/>
                <w:lang w:eastAsia="en-AU"/>
              </w:rPr>
            </w:pPr>
            <w:r w:rsidRPr="005C751E">
              <w:rPr>
                <w:sz w:val="19"/>
                <w:szCs w:val="19"/>
                <w:lang w:eastAsia="en-AU"/>
              </w:rPr>
              <w:t xml:space="preserve">PrimeSafe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sz w:val="19"/>
                <w:szCs w:val="19"/>
                <w:lang w:eastAsia="en-AU"/>
              </w:rPr>
            </w:pPr>
            <w:r w:rsidRPr="005C751E">
              <w:rPr>
                <w:sz w:val="19"/>
                <w:szCs w:val="19"/>
                <w:lang w:eastAsia="en-AU"/>
              </w:rPr>
              <w:t xml:space="preserve">VicForests </w:t>
            </w:r>
            <w:r w:rsidRPr="005C751E">
              <w:rPr>
                <w:sz w:val="19"/>
                <w:szCs w:val="19"/>
                <w:vertAlign w:val="superscript"/>
                <w:lang w:eastAsia="en-AU"/>
              </w:rPr>
              <w:t>(c)</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b/>
                <w:bCs/>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b/>
                <w:bCs/>
                <w:sz w:val="19"/>
                <w:szCs w:val="19"/>
                <w:lang w:eastAsia="en-AU"/>
              </w:rPr>
            </w:pPr>
          </w:p>
        </w:tc>
      </w:tr>
      <w:tr w:rsidR="00F60B5F" w:rsidRPr="005C751E" w:rsidTr="002976C5">
        <w:trPr>
          <w:cantSplit/>
        </w:trPr>
        <w:tc>
          <w:tcPr>
            <w:tcW w:w="3558" w:type="dxa"/>
            <w:tcBorders>
              <w:top w:val="nil"/>
              <w:left w:val="nil"/>
              <w:right w:val="nil"/>
            </w:tcBorders>
          </w:tcPr>
          <w:p w:rsidR="00F60B5F" w:rsidRPr="005C751E" w:rsidRDefault="00F60B5F" w:rsidP="009F309A">
            <w:pPr>
              <w:pStyle w:val="Tabletext"/>
              <w:rPr>
                <w:sz w:val="19"/>
                <w:szCs w:val="19"/>
                <w:lang w:eastAsia="en-AU"/>
              </w:rPr>
            </w:pPr>
            <w:r w:rsidRPr="005C751E">
              <w:rPr>
                <w:sz w:val="19"/>
                <w:szCs w:val="19"/>
                <w:lang w:eastAsia="en-AU"/>
              </w:rPr>
              <w:t xml:space="preserve">Victorian Strawberry Industry Development Committee </w:t>
            </w:r>
            <w:r w:rsidRPr="005C751E">
              <w:rPr>
                <w:sz w:val="19"/>
                <w:szCs w:val="19"/>
                <w:vertAlign w:val="superscript"/>
                <w:lang w:eastAsia="en-AU"/>
              </w:rPr>
              <w:t>(c)</w:t>
            </w:r>
          </w:p>
        </w:tc>
        <w:tc>
          <w:tcPr>
            <w:tcW w:w="1220" w:type="dxa"/>
            <w:tcBorders>
              <w:top w:val="nil"/>
              <w:left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right w:val="nil"/>
            </w:tcBorders>
            <w:noWrap/>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418" w:type="dxa"/>
            <w:tcBorders>
              <w:top w:val="nil"/>
              <w:left w:val="nil"/>
              <w:right w:val="nil"/>
            </w:tcBorders>
            <w:noWrap/>
          </w:tcPr>
          <w:p w:rsidR="00F60B5F" w:rsidRPr="005C751E" w:rsidRDefault="00F60B5F" w:rsidP="009F309A">
            <w:pPr>
              <w:pStyle w:val="TableTextCentred0"/>
              <w:rPr>
                <w:b/>
                <w:bCs/>
                <w:sz w:val="19"/>
                <w:szCs w:val="19"/>
                <w:lang w:eastAsia="en-AU"/>
              </w:rPr>
            </w:pPr>
          </w:p>
        </w:tc>
      </w:tr>
      <w:tr w:rsidR="00F60B5F" w:rsidRPr="005C751E" w:rsidTr="002976C5">
        <w:trPr>
          <w:cantSplit/>
          <w:trHeight w:hRule="exact" w:val="120"/>
        </w:trPr>
        <w:tc>
          <w:tcPr>
            <w:tcW w:w="3558" w:type="dxa"/>
            <w:tcBorders>
              <w:top w:val="nil"/>
              <w:left w:val="nil"/>
              <w:bottom w:val="single" w:sz="6" w:space="0" w:color="000000"/>
              <w:right w:val="nil"/>
            </w:tcBorders>
          </w:tcPr>
          <w:p w:rsidR="00F60B5F" w:rsidRPr="005C751E" w:rsidRDefault="00F60B5F" w:rsidP="009F309A">
            <w:pPr>
              <w:pStyle w:val="Tabletext"/>
              <w:ind w:left="0" w:firstLine="0"/>
              <w:rPr>
                <w:bCs/>
                <w:sz w:val="19"/>
                <w:szCs w:val="19"/>
                <w:lang w:eastAsia="en-AU"/>
              </w:rPr>
            </w:pPr>
          </w:p>
        </w:tc>
        <w:tc>
          <w:tcPr>
            <w:tcW w:w="1220" w:type="dxa"/>
            <w:tcBorders>
              <w:top w:val="nil"/>
              <w:left w:val="nil"/>
              <w:bottom w:val="single" w:sz="6" w:space="0" w:color="000000"/>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single" w:sz="6" w:space="0" w:color="000000"/>
              <w:right w:val="nil"/>
            </w:tcBorders>
            <w:noWrap/>
          </w:tcPr>
          <w:p w:rsidR="00F60B5F" w:rsidRPr="005C751E" w:rsidRDefault="00F60B5F" w:rsidP="009F309A">
            <w:pPr>
              <w:pStyle w:val="TableTextCentred0"/>
              <w:rPr>
                <w:sz w:val="19"/>
                <w:szCs w:val="19"/>
              </w:rPr>
            </w:pPr>
          </w:p>
        </w:tc>
        <w:tc>
          <w:tcPr>
            <w:tcW w:w="1418" w:type="dxa"/>
            <w:tcBorders>
              <w:top w:val="nil"/>
              <w:left w:val="nil"/>
              <w:bottom w:val="single" w:sz="6" w:space="0" w:color="000000"/>
              <w:right w:val="nil"/>
            </w:tcBorders>
            <w:noWrap/>
          </w:tcPr>
          <w:p w:rsidR="00F60B5F" w:rsidRPr="005C751E" w:rsidRDefault="00F60B5F" w:rsidP="009F309A">
            <w:pPr>
              <w:pStyle w:val="TableTextCentred0"/>
              <w:rPr>
                <w:sz w:val="19"/>
                <w:szCs w:val="19"/>
              </w:rPr>
            </w:pPr>
          </w:p>
        </w:tc>
      </w:tr>
      <w:tr w:rsidR="00F60B5F" w:rsidRPr="005C751E" w:rsidTr="002976C5">
        <w:trPr>
          <w:cantSplit/>
        </w:trPr>
        <w:tc>
          <w:tcPr>
            <w:tcW w:w="3558" w:type="dxa"/>
            <w:tcBorders>
              <w:top w:val="single" w:sz="6" w:space="0" w:color="000000"/>
              <w:left w:val="nil"/>
              <w:bottom w:val="nil"/>
              <w:right w:val="nil"/>
            </w:tcBorders>
          </w:tcPr>
          <w:p w:rsidR="00F60B5F" w:rsidRPr="005C751E" w:rsidRDefault="00F60B5F" w:rsidP="009F309A">
            <w:pPr>
              <w:pStyle w:val="Tabletext"/>
              <w:rPr>
                <w:sz w:val="19"/>
                <w:szCs w:val="19"/>
                <w:lang w:eastAsia="en-AU"/>
              </w:rPr>
            </w:pPr>
            <w:r w:rsidRPr="005C751E">
              <w:rPr>
                <w:b/>
                <w:bCs/>
                <w:sz w:val="19"/>
                <w:szCs w:val="19"/>
                <w:lang w:eastAsia="en-AU"/>
              </w:rPr>
              <w:t>Department of Premier and Cabinet</w:t>
            </w:r>
          </w:p>
        </w:tc>
        <w:tc>
          <w:tcPr>
            <w:tcW w:w="1220" w:type="dxa"/>
            <w:tcBorders>
              <w:top w:val="single" w:sz="6" w:space="0" w:color="000000"/>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single" w:sz="6" w:space="0" w:color="000000"/>
              <w:left w:val="nil"/>
              <w:bottom w:val="nil"/>
              <w:right w:val="nil"/>
            </w:tcBorders>
            <w:noWrap/>
          </w:tcPr>
          <w:p w:rsidR="00F60B5F" w:rsidRPr="005C751E" w:rsidRDefault="00F60B5F" w:rsidP="009F309A">
            <w:pPr>
              <w:pStyle w:val="TableTextCentred0"/>
              <w:rPr>
                <w:sz w:val="19"/>
                <w:szCs w:val="19"/>
              </w:rPr>
            </w:pPr>
          </w:p>
        </w:tc>
        <w:tc>
          <w:tcPr>
            <w:tcW w:w="1418" w:type="dxa"/>
            <w:tcBorders>
              <w:top w:val="single" w:sz="6" w:space="0" w:color="000000"/>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rPr>
                <w:sz w:val="19"/>
                <w:szCs w:val="19"/>
                <w:lang w:eastAsia="en-AU"/>
              </w:rPr>
            </w:pPr>
            <w:r w:rsidRPr="005C751E">
              <w:rPr>
                <w:bCs/>
                <w:sz w:val="19"/>
                <w:szCs w:val="19"/>
                <w:lang w:eastAsia="en-AU"/>
              </w:rPr>
              <w:t>Shrine of Remembrance Trustees</w:t>
            </w:r>
            <w:r w:rsidRPr="005C751E">
              <w:rPr>
                <w:bCs/>
                <w:sz w:val="19"/>
                <w:szCs w:val="19"/>
                <w:vertAlign w:val="superscript"/>
                <w:lang w:eastAsia="en-AU"/>
              </w:rPr>
              <w:t xml:space="preserve"> (d)</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rPr>
                <w:sz w:val="19"/>
                <w:szCs w:val="19"/>
                <w:lang w:eastAsia="en-AU"/>
              </w:rPr>
            </w:pPr>
            <w:r w:rsidRPr="005C751E">
              <w:rPr>
                <w:bCs/>
                <w:sz w:val="19"/>
                <w:szCs w:val="19"/>
                <w:lang w:eastAsia="en-AU"/>
              </w:rPr>
              <w:t xml:space="preserve">Victorian Aboriginal Heritage Council </w:t>
            </w:r>
            <w:r w:rsidRPr="005C751E">
              <w:rPr>
                <w:bCs/>
                <w:sz w:val="19"/>
                <w:szCs w:val="19"/>
                <w:vertAlign w:val="superscript"/>
                <w:lang w:eastAsia="en-AU"/>
              </w:rPr>
              <w:t>(d)</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2976C5">
        <w:trPr>
          <w:cantSplit/>
        </w:trPr>
        <w:tc>
          <w:tcPr>
            <w:tcW w:w="3558" w:type="dxa"/>
            <w:tcBorders>
              <w:top w:val="nil"/>
              <w:left w:val="nil"/>
              <w:right w:val="nil"/>
            </w:tcBorders>
          </w:tcPr>
          <w:p w:rsidR="00F60B5F" w:rsidRPr="005C751E" w:rsidRDefault="00F60B5F" w:rsidP="009F309A">
            <w:pPr>
              <w:pStyle w:val="Tabletext"/>
              <w:rPr>
                <w:sz w:val="19"/>
                <w:szCs w:val="19"/>
                <w:lang w:eastAsia="en-AU"/>
              </w:rPr>
            </w:pPr>
            <w:r w:rsidRPr="005C751E">
              <w:rPr>
                <w:sz w:val="19"/>
                <w:szCs w:val="19"/>
                <w:lang w:eastAsia="en-AU"/>
              </w:rPr>
              <w:t xml:space="preserve">Victorian Veterans Council </w:t>
            </w:r>
            <w:r w:rsidRPr="005C751E">
              <w:rPr>
                <w:sz w:val="19"/>
                <w:szCs w:val="19"/>
                <w:vertAlign w:val="superscript"/>
                <w:lang w:eastAsia="en-AU"/>
              </w:rPr>
              <w:t>(d)</w:t>
            </w:r>
          </w:p>
        </w:tc>
        <w:tc>
          <w:tcPr>
            <w:tcW w:w="1220" w:type="dxa"/>
            <w:tcBorders>
              <w:top w:val="nil"/>
              <w:left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right w:val="nil"/>
            </w:tcBorders>
            <w:noWrap/>
          </w:tcPr>
          <w:p w:rsidR="00F60B5F" w:rsidRPr="005C751E" w:rsidRDefault="00F60B5F" w:rsidP="009F309A">
            <w:pPr>
              <w:pStyle w:val="TableTextCentred0"/>
              <w:rPr>
                <w:sz w:val="19"/>
                <w:szCs w:val="19"/>
              </w:rPr>
            </w:pPr>
          </w:p>
        </w:tc>
        <w:tc>
          <w:tcPr>
            <w:tcW w:w="1418" w:type="dxa"/>
            <w:tcBorders>
              <w:top w:val="nil"/>
              <w:left w:val="nil"/>
              <w:right w:val="nil"/>
            </w:tcBorders>
            <w:noWrap/>
          </w:tcPr>
          <w:p w:rsidR="00F60B5F" w:rsidRPr="005C751E" w:rsidRDefault="00F60B5F" w:rsidP="009F309A">
            <w:pPr>
              <w:pStyle w:val="TableTextCentred0"/>
              <w:rPr>
                <w:sz w:val="19"/>
                <w:szCs w:val="19"/>
              </w:rPr>
            </w:pPr>
          </w:p>
        </w:tc>
      </w:tr>
      <w:tr w:rsidR="00F60B5F" w:rsidRPr="005C751E" w:rsidTr="002976C5">
        <w:trPr>
          <w:cantSplit/>
          <w:trHeight w:hRule="exact" w:val="120"/>
        </w:trPr>
        <w:tc>
          <w:tcPr>
            <w:tcW w:w="3558" w:type="dxa"/>
            <w:tcBorders>
              <w:top w:val="nil"/>
              <w:left w:val="nil"/>
              <w:bottom w:val="single" w:sz="6" w:space="0" w:color="000000"/>
              <w:right w:val="nil"/>
            </w:tcBorders>
          </w:tcPr>
          <w:p w:rsidR="00F60B5F" w:rsidRPr="005C751E" w:rsidRDefault="00F60B5F" w:rsidP="009F309A">
            <w:pPr>
              <w:pStyle w:val="Tabletext"/>
              <w:ind w:left="0" w:firstLine="0"/>
              <w:rPr>
                <w:bCs/>
                <w:sz w:val="19"/>
                <w:szCs w:val="19"/>
                <w:lang w:eastAsia="en-AU"/>
              </w:rPr>
            </w:pPr>
          </w:p>
        </w:tc>
        <w:tc>
          <w:tcPr>
            <w:tcW w:w="1220" w:type="dxa"/>
            <w:tcBorders>
              <w:top w:val="nil"/>
              <w:left w:val="nil"/>
              <w:bottom w:val="single" w:sz="6" w:space="0" w:color="000000"/>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single" w:sz="6" w:space="0" w:color="000000"/>
              <w:right w:val="nil"/>
            </w:tcBorders>
            <w:noWrap/>
          </w:tcPr>
          <w:p w:rsidR="00F60B5F" w:rsidRPr="005C751E" w:rsidRDefault="00F60B5F" w:rsidP="009F309A">
            <w:pPr>
              <w:pStyle w:val="TableTextCentred0"/>
              <w:rPr>
                <w:sz w:val="19"/>
                <w:szCs w:val="19"/>
              </w:rPr>
            </w:pPr>
          </w:p>
        </w:tc>
        <w:tc>
          <w:tcPr>
            <w:tcW w:w="1418" w:type="dxa"/>
            <w:tcBorders>
              <w:top w:val="nil"/>
              <w:left w:val="nil"/>
              <w:bottom w:val="single" w:sz="6" w:space="0" w:color="000000"/>
              <w:right w:val="nil"/>
            </w:tcBorders>
            <w:noWrap/>
          </w:tcPr>
          <w:p w:rsidR="00F60B5F" w:rsidRPr="005C751E" w:rsidRDefault="00F60B5F" w:rsidP="009F309A">
            <w:pPr>
              <w:pStyle w:val="TableTextCentred0"/>
              <w:rPr>
                <w:sz w:val="19"/>
                <w:szCs w:val="19"/>
              </w:rPr>
            </w:pPr>
          </w:p>
        </w:tc>
      </w:tr>
      <w:tr w:rsidR="00F60B5F" w:rsidRPr="005C751E" w:rsidTr="000C5ADC">
        <w:trPr>
          <w:cantSplit/>
          <w:trHeight w:hRule="exact" w:val="115"/>
        </w:trPr>
        <w:tc>
          <w:tcPr>
            <w:tcW w:w="3558" w:type="dxa"/>
            <w:tcBorders>
              <w:top w:val="single" w:sz="6" w:space="0" w:color="000000"/>
              <w:left w:val="nil"/>
              <w:bottom w:val="nil"/>
              <w:right w:val="nil"/>
            </w:tcBorders>
          </w:tcPr>
          <w:p w:rsidR="00F60B5F" w:rsidRPr="005C751E" w:rsidRDefault="00F60B5F" w:rsidP="000C5ADC">
            <w:pPr>
              <w:pStyle w:val="Tabletext"/>
              <w:pageBreakBefore/>
              <w:ind w:left="187" w:hanging="187"/>
              <w:rPr>
                <w:sz w:val="19"/>
                <w:szCs w:val="19"/>
                <w:lang w:eastAsia="en-AU"/>
              </w:rPr>
            </w:pPr>
          </w:p>
        </w:tc>
        <w:tc>
          <w:tcPr>
            <w:tcW w:w="1220" w:type="dxa"/>
            <w:tcBorders>
              <w:top w:val="single" w:sz="6" w:space="0" w:color="000000"/>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single" w:sz="6" w:space="0" w:color="000000"/>
              <w:left w:val="nil"/>
              <w:bottom w:val="nil"/>
              <w:right w:val="nil"/>
            </w:tcBorders>
            <w:noWrap/>
          </w:tcPr>
          <w:p w:rsidR="00F60B5F" w:rsidRPr="005C751E" w:rsidRDefault="00F60B5F" w:rsidP="009F309A">
            <w:pPr>
              <w:pStyle w:val="TableTextCentred0"/>
              <w:rPr>
                <w:sz w:val="19"/>
                <w:szCs w:val="19"/>
              </w:rPr>
            </w:pPr>
          </w:p>
        </w:tc>
        <w:tc>
          <w:tcPr>
            <w:tcW w:w="1418" w:type="dxa"/>
            <w:tcBorders>
              <w:top w:val="single" w:sz="6" w:space="0" w:color="000000"/>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rPr>
                <w:sz w:val="19"/>
                <w:szCs w:val="19"/>
                <w:lang w:eastAsia="en-AU"/>
              </w:rPr>
            </w:pPr>
            <w:r w:rsidRPr="005C751E">
              <w:rPr>
                <w:b/>
                <w:bCs/>
                <w:sz w:val="19"/>
                <w:szCs w:val="19"/>
                <w:lang w:eastAsia="en-AU"/>
              </w:rPr>
              <w:t>Department of State Development, Business and Innovation</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F177C2">
            <w:pPr>
              <w:pStyle w:val="Tabletext"/>
              <w:rPr>
                <w:sz w:val="19"/>
                <w:szCs w:val="19"/>
                <w:lang w:eastAsia="en-AU"/>
              </w:rPr>
            </w:pPr>
            <w:r w:rsidRPr="005C751E">
              <w:rPr>
                <w:sz w:val="19"/>
                <w:szCs w:val="19"/>
                <w:lang w:eastAsia="en-AU"/>
              </w:rPr>
              <w:t>Cen</w:t>
            </w:r>
            <w:r>
              <w:rPr>
                <w:sz w:val="19"/>
                <w:szCs w:val="19"/>
                <w:lang w:eastAsia="en-AU"/>
              </w:rPr>
              <w:t>I</w:t>
            </w:r>
            <w:r w:rsidRPr="005C751E">
              <w:rPr>
                <w:sz w:val="19"/>
                <w:szCs w:val="19"/>
                <w:lang w:eastAsia="en-AU"/>
              </w:rPr>
              <w:t>Tex</w:t>
            </w:r>
            <w:r w:rsidRPr="005C751E">
              <w:rPr>
                <w:sz w:val="19"/>
                <w:szCs w:val="19"/>
                <w:vertAlign w:val="superscript"/>
                <w:lang w:eastAsia="en-AU"/>
              </w:rPr>
              <w:t xml:space="preserve"> (e)</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rPr>
                <w:sz w:val="19"/>
                <w:szCs w:val="19"/>
                <w:lang w:eastAsia="en-AU"/>
              </w:rPr>
            </w:pPr>
            <w:r w:rsidRPr="005C751E">
              <w:rPr>
                <w:bCs/>
                <w:sz w:val="19"/>
                <w:szCs w:val="19"/>
                <w:lang w:eastAsia="en-AU"/>
              </w:rPr>
              <w:t xml:space="preserve">Energy Safe Victoria </w:t>
            </w:r>
            <w:r w:rsidRPr="005C751E">
              <w:rPr>
                <w:bCs/>
                <w:sz w:val="19"/>
                <w:szCs w:val="19"/>
                <w:vertAlign w:val="superscript"/>
                <w:lang w:eastAsia="en-AU"/>
              </w:rPr>
              <w:t>(f)</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2976C5">
        <w:trPr>
          <w:cantSplit/>
        </w:trPr>
        <w:tc>
          <w:tcPr>
            <w:tcW w:w="3558" w:type="dxa"/>
            <w:tcBorders>
              <w:top w:val="nil"/>
              <w:left w:val="nil"/>
              <w:right w:val="nil"/>
            </w:tcBorders>
          </w:tcPr>
          <w:p w:rsidR="00F60B5F" w:rsidRPr="005C751E" w:rsidRDefault="00F60B5F" w:rsidP="000F63F5">
            <w:pPr>
              <w:pStyle w:val="Tabletext"/>
              <w:rPr>
                <w:sz w:val="19"/>
                <w:szCs w:val="19"/>
                <w:lang w:eastAsia="en-AU"/>
              </w:rPr>
            </w:pPr>
            <w:r w:rsidRPr="005C751E">
              <w:rPr>
                <w:bCs/>
                <w:sz w:val="19"/>
                <w:szCs w:val="19"/>
                <w:lang w:eastAsia="en-AU"/>
              </w:rPr>
              <w:t xml:space="preserve">Regional Development Victoria </w:t>
            </w:r>
            <w:r w:rsidRPr="005C751E">
              <w:rPr>
                <w:bCs/>
                <w:sz w:val="19"/>
                <w:szCs w:val="19"/>
                <w:vertAlign w:val="superscript"/>
                <w:lang w:eastAsia="en-AU"/>
              </w:rPr>
              <w:t>(g)</w:t>
            </w:r>
          </w:p>
        </w:tc>
        <w:tc>
          <w:tcPr>
            <w:tcW w:w="1220" w:type="dxa"/>
            <w:tcBorders>
              <w:top w:val="nil"/>
              <w:left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right w:val="nil"/>
            </w:tcBorders>
            <w:noWrap/>
          </w:tcPr>
          <w:p w:rsidR="00F60B5F" w:rsidRPr="005C751E" w:rsidRDefault="00F60B5F" w:rsidP="009F309A">
            <w:pPr>
              <w:pStyle w:val="TableTextCentred0"/>
              <w:rPr>
                <w:sz w:val="19"/>
                <w:szCs w:val="19"/>
              </w:rPr>
            </w:pPr>
          </w:p>
        </w:tc>
        <w:tc>
          <w:tcPr>
            <w:tcW w:w="1418" w:type="dxa"/>
            <w:tcBorders>
              <w:top w:val="nil"/>
              <w:left w:val="nil"/>
              <w:right w:val="nil"/>
            </w:tcBorders>
            <w:noWrap/>
          </w:tcPr>
          <w:p w:rsidR="00F60B5F" w:rsidRPr="005C751E" w:rsidRDefault="00F60B5F" w:rsidP="009F309A">
            <w:pPr>
              <w:pStyle w:val="TableTextCentred0"/>
              <w:rPr>
                <w:sz w:val="19"/>
                <w:szCs w:val="19"/>
              </w:rPr>
            </w:pPr>
          </w:p>
        </w:tc>
      </w:tr>
      <w:tr w:rsidR="00F60B5F" w:rsidRPr="005C751E" w:rsidTr="002976C5">
        <w:trPr>
          <w:cantSplit/>
          <w:trHeight w:hRule="exact" w:val="120"/>
        </w:trPr>
        <w:tc>
          <w:tcPr>
            <w:tcW w:w="3558" w:type="dxa"/>
            <w:tcBorders>
              <w:top w:val="nil"/>
              <w:left w:val="nil"/>
              <w:bottom w:val="single" w:sz="6" w:space="0" w:color="000000"/>
              <w:right w:val="nil"/>
            </w:tcBorders>
          </w:tcPr>
          <w:p w:rsidR="00F60B5F" w:rsidRPr="005C751E" w:rsidRDefault="00F60B5F" w:rsidP="009F309A">
            <w:pPr>
              <w:pStyle w:val="Tabletext"/>
              <w:ind w:left="0" w:firstLine="0"/>
              <w:rPr>
                <w:bCs/>
                <w:sz w:val="19"/>
                <w:szCs w:val="19"/>
                <w:lang w:eastAsia="en-AU"/>
              </w:rPr>
            </w:pPr>
          </w:p>
        </w:tc>
        <w:tc>
          <w:tcPr>
            <w:tcW w:w="1220" w:type="dxa"/>
            <w:tcBorders>
              <w:top w:val="nil"/>
              <w:left w:val="nil"/>
              <w:bottom w:val="single" w:sz="6" w:space="0" w:color="000000"/>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single" w:sz="6" w:space="0" w:color="000000"/>
              <w:right w:val="nil"/>
            </w:tcBorders>
            <w:noWrap/>
          </w:tcPr>
          <w:p w:rsidR="00F60B5F" w:rsidRPr="005C751E" w:rsidRDefault="00F60B5F" w:rsidP="009F309A">
            <w:pPr>
              <w:pStyle w:val="TableTextCentred0"/>
              <w:rPr>
                <w:sz w:val="19"/>
                <w:szCs w:val="19"/>
              </w:rPr>
            </w:pPr>
          </w:p>
        </w:tc>
        <w:tc>
          <w:tcPr>
            <w:tcW w:w="1418" w:type="dxa"/>
            <w:tcBorders>
              <w:top w:val="nil"/>
              <w:left w:val="nil"/>
              <w:bottom w:val="single" w:sz="6" w:space="0" w:color="000000"/>
              <w:right w:val="nil"/>
            </w:tcBorders>
            <w:noWrap/>
          </w:tcPr>
          <w:p w:rsidR="00F60B5F" w:rsidRPr="005C751E" w:rsidRDefault="00F60B5F" w:rsidP="009F309A">
            <w:pPr>
              <w:pStyle w:val="TableTextCentred0"/>
              <w:rPr>
                <w:sz w:val="19"/>
                <w:szCs w:val="19"/>
              </w:rPr>
            </w:pPr>
          </w:p>
        </w:tc>
      </w:tr>
      <w:tr w:rsidR="00F60B5F" w:rsidRPr="005C751E" w:rsidTr="002976C5">
        <w:trPr>
          <w:cantSplit/>
        </w:trPr>
        <w:tc>
          <w:tcPr>
            <w:tcW w:w="3558" w:type="dxa"/>
            <w:tcBorders>
              <w:top w:val="single" w:sz="6" w:space="0" w:color="000000"/>
              <w:left w:val="nil"/>
              <w:bottom w:val="nil"/>
              <w:right w:val="nil"/>
            </w:tcBorders>
          </w:tcPr>
          <w:p w:rsidR="00F60B5F" w:rsidRPr="005C751E" w:rsidRDefault="00F60B5F" w:rsidP="005C19CE">
            <w:pPr>
              <w:pStyle w:val="Tabletext"/>
              <w:ind w:left="0" w:firstLine="0"/>
              <w:rPr>
                <w:b/>
                <w:sz w:val="19"/>
                <w:szCs w:val="19"/>
                <w:lang w:eastAsia="en-AU"/>
              </w:rPr>
            </w:pPr>
            <w:r w:rsidRPr="005C751E">
              <w:rPr>
                <w:b/>
                <w:sz w:val="19"/>
                <w:szCs w:val="19"/>
                <w:lang w:eastAsia="en-AU"/>
              </w:rPr>
              <w:t xml:space="preserve">Department of Transport, Planning and Local Infrastructure </w:t>
            </w:r>
            <w:r w:rsidRPr="005C751E">
              <w:rPr>
                <w:b/>
                <w:sz w:val="19"/>
                <w:szCs w:val="19"/>
                <w:vertAlign w:val="superscript"/>
                <w:lang w:eastAsia="en-AU"/>
              </w:rPr>
              <w:t>(h)</w:t>
            </w:r>
            <w:r>
              <w:rPr>
                <w:b/>
                <w:sz w:val="19"/>
                <w:szCs w:val="19"/>
                <w:vertAlign w:val="superscript"/>
                <w:lang w:eastAsia="en-AU"/>
              </w:rPr>
              <w:t>(i)</w:t>
            </w:r>
            <w:r w:rsidRPr="005C751E">
              <w:rPr>
                <w:b/>
                <w:sz w:val="19"/>
                <w:szCs w:val="19"/>
                <w:lang w:eastAsia="en-AU"/>
              </w:rPr>
              <w:t xml:space="preserve"> </w:t>
            </w:r>
          </w:p>
        </w:tc>
        <w:tc>
          <w:tcPr>
            <w:tcW w:w="1220" w:type="dxa"/>
            <w:tcBorders>
              <w:top w:val="single" w:sz="6" w:space="0" w:color="000000"/>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single" w:sz="6" w:space="0" w:color="000000"/>
              <w:left w:val="nil"/>
              <w:bottom w:val="nil"/>
              <w:right w:val="nil"/>
            </w:tcBorders>
            <w:noWrap/>
          </w:tcPr>
          <w:p w:rsidR="00F60B5F" w:rsidRPr="005C751E" w:rsidRDefault="00F60B5F" w:rsidP="009F309A">
            <w:pPr>
              <w:pStyle w:val="TableTextCentred0"/>
              <w:rPr>
                <w:sz w:val="19"/>
                <w:szCs w:val="19"/>
              </w:rPr>
            </w:pPr>
          </w:p>
        </w:tc>
        <w:tc>
          <w:tcPr>
            <w:tcW w:w="1418" w:type="dxa"/>
            <w:tcBorders>
              <w:top w:val="single" w:sz="6" w:space="0" w:color="000000"/>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bCs/>
                <w:sz w:val="19"/>
                <w:szCs w:val="19"/>
                <w:lang w:eastAsia="en-AU"/>
              </w:rPr>
            </w:pPr>
            <w:r w:rsidRPr="005C751E">
              <w:rPr>
                <w:bCs/>
                <w:sz w:val="19"/>
                <w:szCs w:val="19"/>
                <w:lang w:eastAsia="en-AU"/>
              </w:rPr>
              <w:t xml:space="preserve">Architects Registration Board of Victoria </w:t>
            </w:r>
            <w:r>
              <w:rPr>
                <w:bCs/>
                <w:sz w:val="19"/>
                <w:szCs w:val="19"/>
                <w:vertAlign w:val="superscript"/>
                <w:lang w:eastAsia="en-AU"/>
              </w:rPr>
              <w:t>(j</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bCs/>
                <w:sz w:val="19"/>
                <w:szCs w:val="19"/>
                <w:lang w:eastAsia="en-AU"/>
              </w:rPr>
            </w:pPr>
            <w:r>
              <w:rPr>
                <w:bCs/>
                <w:sz w:val="19"/>
                <w:szCs w:val="19"/>
                <w:lang w:eastAsia="en-AU"/>
              </w:rPr>
              <w:t>Metropolitan Planning Authority</w:t>
            </w:r>
            <w:r w:rsidRPr="005C751E">
              <w:rPr>
                <w:bCs/>
                <w:sz w:val="19"/>
                <w:szCs w:val="19"/>
                <w:lang w:eastAsia="en-AU"/>
              </w:rPr>
              <w:t xml:space="preserve"> </w:t>
            </w:r>
            <w:r>
              <w:rPr>
                <w:bCs/>
                <w:sz w:val="19"/>
                <w:szCs w:val="19"/>
                <w:vertAlign w:val="superscript"/>
                <w:lang w:eastAsia="en-AU"/>
              </w:rPr>
              <w:t>(k</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bCs/>
                <w:sz w:val="19"/>
                <w:szCs w:val="19"/>
                <w:lang w:eastAsia="en-AU"/>
              </w:rPr>
            </w:pPr>
            <w:r w:rsidRPr="005C751E">
              <w:rPr>
                <w:bCs/>
                <w:sz w:val="19"/>
                <w:szCs w:val="19"/>
                <w:lang w:eastAsia="en-AU"/>
              </w:rPr>
              <w:t xml:space="preserve">Heritage Council </w:t>
            </w:r>
            <w:r>
              <w:rPr>
                <w:bCs/>
                <w:sz w:val="19"/>
                <w:szCs w:val="19"/>
                <w:vertAlign w:val="superscript"/>
                <w:lang w:eastAsia="en-AU"/>
              </w:rPr>
              <w:t>(j</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bCs/>
                <w:sz w:val="19"/>
                <w:szCs w:val="19"/>
                <w:lang w:eastAsia="en-AU"/>
              </w:rPr>
            </w:pPr>
            <w:r w:rsidRPr="005C751E">
              <w:rPr>
                <w:bCs/>
                <w:sz w:val="19"/>
                <w:szCs w:val="19"/>
                <w:lang w:eastAsia="en-AU"/>
              </w:rPr>
              <w:t xml:space="preserve">Melbourne Cricket Ground Trust </w:t>
            </w:r>
            <w:r>
              <w:rPr>
                <w:bCs/>
                <w:sz w:val="19"/>
                <w:szCs w:val="19"/>
                <w:vertAlign w:val="superscript"/>
                <w:lang w:eastAsia="en-AU"/>
              </w:rPr>
              <w:t>(j</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bCs/>
                <w:sz w:val="19"/>
                <w:szCs w:val="19"/>
                <w:lang w:eastAsia="en-AU"/>
              </w:rPr>
            </w:pPr>
            <w:r w:rsidRPr="005C751E">
              <w:rPr>
                <w:bCs/>
                <w:sz w:val="19"/>
                <w:szCs w:val="19"/>
                <w:lang w:eastAsia="en-AU"/>
              </w:rPr>
              <w:t xml:space="preserve">Victorian Building Authority </w:t>
            </w:r>
            <w:r>
              <w:rPr>
                <w:bCs/>
                <w:sz w:val="19"/>
                <w:szCs w:val="19"/>
                <w:vertAlign w:val="superscript"/>
                <w:lang w:eastAsia="en-AU"/>
              </w:rPr>
              <w:t>(j)(l</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9F309A">
            <w:pPr>
              <w:pStyle w:val="Tabletext"/>
              <w:ind w:left="0" w:firstLine="0"/>
              <w:rPr>
                <w:bCs/>
                <w:sz w:val="19"/>
                <w:szCs w:val="19"/>
                <w:lang w:eastAsia="en-AU"/>
              </w:rPr>
            </w:pPr>
            <w:r w:rsidRPr="005C751E">
              <w:rPr>
                <w:bCs/>
                <w:sz w:val="19"/>
                <w:szCs w:val="19"/>
                <w:lang w:eastAsia="en-AU"/>
              </w:rPr>
              <w:t xml:space="preserve">Victorian Institute of Sport Limited </w:t>
            </w:r>
            <w:r>
              <w:rPr>
                <w:bCs/>
                <w:sz w:val="19"/>
                <w:szCs w:val="19"/>
                <w:vertAlign w:val="superscript"/>
                <w:lang w:eastAsia="en-AU"/>
              </w:rPr>
              <w:t>(j</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F72FF">
            <w:pPr>
              <w:pStyle w:val="Tabletext"/>
              <w:ind w:left="0" w:firstLine="0"/>
              <w:rPr>
                <w:bCs/>
                <w:sz w:val="19"/>
                <w:szCs w:val="19"/>
                <w:lang w:eastAsia="en-AU"/>
              </w:rPr>
            </w:pPr>
            <w:r w:rsidRPr="005C751E">
              <w:rPr>
                <w:bCs/>
                <w:sz w:val="19"/>
                <w:szCs w:val="19"/>
                <w:lang w:eastAsia="en-AU"/>
              </w:rPr>
              <w:t xml:space="preserve">Victorian Institute of Sport Trust </w:t>
            </w:r>
            <w:r w:rsidRPr="005C751E">
              <w:rPr>
                <w:bCs/>
                <w:sz w:val="19"/>
                <w:szCs w:val="19"/>
                <w:vertAlign w:val="superscript"/>
                <w:lang w:eastAsia="en-AU"/>
              </w:rPr>
              <w:t>(</w:t>
            </w:r>
            <w:r>
              <w:rPr>
                <w:bCs/>
                <w:sz w:val="19"/>
                <w:szCs w:val="19"/>
                <w:vertAlign w:val="superscript"/>
                <w:lang w:eastAsia="en-AU"/>
              </w:rPr>
              <w:t>j</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559" w:type="dxa"/>
            <w:tcBorders>
              <w:top w:val="nil"/>
              <w:left w:val="nil"/>
              <w:bottom w:val="nil"/>
              <w:right w:val="nil"/>
            </w:tcBorders>
            <w:noWrap/>
          </w:tcPr>
          <w:p w:rsidR="00F60B5F" w:rsidRPr="005C751E" w:rsidRDefault="00F60B5F" w:rsidP="009F309A">
            <w:pPr>
              <w:pStyle w:val="TableTextCentred0"/>
              <w:rPr>
                <w:sz w:val="19"/>
                <w:szCs w:val="19"/>
              </w:rPr>
            </w:pP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F72FF">
            <w:pPr>
              <w:pStyle w:val="Tabletext"/>
              <w:ind w:left="0" w:firstLine="0"/>
              <w:rPr>
                <w:bCs/>
                <w:sz w:val="19"/>
                <w:szCs w:val="19"/>
                <w:lang w:eastAsia="en-AU"/>
              </w:rPr>
            </w:pPr>
            <w:r w:rsidRPr="005C751E">
              <w:rPr>
                <w:bCs/>
                <w:sz w:val="19"/>
                <w:szCs w:val="19"/>
                <w:lang w:eastAsia="en-AU"/>
              </w:rPr>
              <w:t xml:space="preserve">Melbourne and Olympic Parks Trust </w:t>
            </w:r>
            <w:r w:rsidRPr="005C751E">
              <w:rPr>
                <w:bCs/>
                <w:sz w:val="19"/>
                <w:szCs w:val="19"/>
                <w:vertAlign w:val="superscript"/>
                <w:lang w:eastAsia="en-AU"/>
              </w:rPr>
              <w:t>(</w:t>
            </w:r>
            <w:r>
              <w:rPr>
                <w:bCs/>
                <w:sz w:val="19"/>
                <w:szCs w:val="19"/>
                <w:vertAlign w:val="superscript"/>
                <w:lang w:eastAsia="en-AU"/>
              </w:rPr>
              <w:t>j</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F72FF">
            <w:pPr>
              <w:pStyle w:val="Tabletext"/>
              <w:ind w:left="0" w:firstLine="0"/>
              <w:rPr>
                <w:bCs/>
                <w:sz w:val="19"/>
                <w:szCs w:val="19"/>
                <w:lang w:eastAsia="en-AU"/>
              </w:rPr>
            </w:pPr>
            <w:r w:rsidRPr="005C751E">
              <w:rPr>
                <w:bCs/>
                <w:sz w:val="19"/>
                <w:szCs w:val="19"/>
                <w:lang w:eastAsia="en-AU"/>
              </w:rPr>
              <w:t xml:space="preserve">State Sport Centres Trust </w:t>
            </w:r>
            <w:r w:rsidRPr="005C751E">
              <w:rPr>
                <w:bCs/>
                <w:sz w:val="19"/>
                <w:szCs w:val="19"/>
                <w:vertAlign w:val="superscript"/>
                <w:lang w:eastAsia="en-AU"/>
              </w:rPr>
              <w:t>(</w:t>
            </w:r>
            <w:r>
              <w:rPr>
                <w:bCs/>
                <w:sz w:val="19"/>
                <w:szCs w:val="19"/>
                <w:vertAlign w:val="superscript"/>
                <w:lang w:eastAsia="en-AU"/>
              </w:rPr>
              <w:t>j</w:t>
            </w:r>
            <w:r w:rsidRPr="005C751E">
              <w:rPr>
                <w:bCs/>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9F309A">
        <w:trPr>
          <w:cantSplit/>
        </w:trPr>
        <w:tc>
          <w:tcPr>
            <w:tcW w:w="3558" w:type="dxa"/>
            <w:tcBorders>
              <w:top w:val="nil"/>
              <w:left w:val="nil"/>
              <w:bottom w:val="nil"/>
              <w:right w:val="nil"/>
            </w:tcBorders>
          </w:tcPr>
          <w:p w:rsidR="00F60B5F" w:rsidRPr="005C751E" w:rsidRDefault="00F60B5F" w:rsidP="000F72FF">
            <w:pPr>
              <w:pStyle w:val="Tabletext"/>
              <w:rPr>
                <w:sz w:val="19"/>
                <w:szCs w:val="19"/>
                <w:lang w:eastAsia="en-AU"/>
              </w:rPr>
            </w:pPr>
            <w:r w:rsidRPr="005C751E">
              <w:rPr>
                <w:sz w:val="19"/>
                <w:szCs w:val="19"/>
                <w:lang w:eastAsia="en-AU"/>
              </w:rPr>
              <w:t>Urban Ren</w:t>
            </w:r>
            <w:r>
              <w:rPr>
                <w:sz w:val="19"/>
                <w:szCs w:val="19"/>
                <w:lang w:eastAsia="en-AU"/>
              </w:rPr>
              <w:t>ewal Authority Victoria (Places </w:t>
            </w:r>
            <w:r w:rsidRPr="005C751E">
              <w:rPr>
                <w:sz w:val="19"/>
                <w:szCs w:val="19"/>
                <w:lang w:eastAsia="en-AU"/>
              </w:rPr>
              <w:t xml:space="preserve">Victoria) </w:t>
            </w:r>
            <w:r w:rsidRPr="005C751E">
              <w:rPr>
                <w:sz w:val="19"/>
                <w:szCs w:val="19"/>
                <w:vertAlign w:val="superscript"/>
                <w:lang w:eastAsia="en-AU"/>
              </w:rPr>
              <w:t>(</w:t>
            </w:r>
            <w:r>
              <w:rPr>
                <w:sz w:val="19"/>
                <w:szCs w:val="19"/>
                <w:vertAlign w:val="superscript"/>
                <w:lang w:eastAsia="en-AU"/>
              </w:rPr>
              <w:t>j</w:t>
            </w:r>
            <w:r w:rsidRPr="005C751E">
              <w:rPr>
                <w:sz w:val="19"/>
                <w:szCs w:val="19"/>
                <w:vertAlign w:val="superscript"/>
                <w:lang w:eastAsia="en-AU"/>
              </w:rPr>
              <w:t>)</w:t>
            </w:r>
          </w:p>
        </w:tc>
        <w:tc>
          <w:tcPr>
            <w:tcW w:w="1220" w:type="dxa"/>
            <w:tcBorders>
              <w:top w:val="nil"/>
              <w:left w:val="nil"/>
              <w:bottom w:val="nil"/>
              <w:right w:val="nil"/>
            </w:tcBorders>
          </w:tcPr>
          <w:p w:rsidR="00F60B5F" w:rsidRPr="005C751E" w:rsidRDefault="00F60B5F" w:rsidP="009F309A">
            <w:pPr>
              <w:pStyle w:val="TableTextCentred0"/>
              <w:rPr>
                <w:sz w:val="19"/>
                <w:szCs w:val="19"/>
                <w:lang w:eastAsia="en-AU"/>
              </w:rPr>
            </w:pPr>
          </w:p>
        </w:tc>
        <w:tc>
          <w:tcPr>
            <w:tcW w:w="1559" w:type="dxa"/>
            <w:tcBorders>
              <w:top w:val="nil"/>
              <w:left w:val="nil"/>
              <w:bottom w:val="nil"/>
              <w:right w:val="nil"/>
            </w:tcBorders>
            <w:noWrap/>
          </w:tcPr>
          <w:p w:rsidR="00F60B5F" w:rsidRPr="005C751E" w:rsidRDefault="00F60B5F" w:rsidP="009F309A">
            <w:pPr>
              <w:pStyle w:val="TableTextCentred0"/>
              <w:rPr>
                <w:sz w:val="19"/>
                <w:szCs w:val="19"/>
                <w:lang w:eastAsia="en-AU"/>
              </w:rPr>
            </w:pPr>
            <w:r w:rsidRPr="005C751E">
              <w:rPr>
                <w:sz w:val="19"/>
                <w:szCs w:val="19"/>
                <w:lang w:eastAsia="en-AU"/>
              </w:rPr>
              <w:t>*</w:t>
            </w:r>
          </w:p>
        </w:tc>
        <w:tc>
          <w:tcPr>
            <w:tcW w:w="1418" w:type="dxa"/>
            <w:tcBorders>
              <w:top w:val="nil"/>
              <w:left w:val="nil"/>
              <w:bottom w:val="nil"/>
              <w:right w:val="nil"/>
            </w:tcBorders>
            <w:noWrap/>
          </w:tcPr>
          <w:p w:rsidR="00F60B5F" w:rsidRPr="005C751E" w:rsidRDefault="00F60B5F" w:rsidP="009F309A">
            <w:pPr>
              <w:pStyle w:val="TableTextCentred0"/>
              <w:rPr>
                <w:sz w:val="19"/>
                <w:szCs w:val="19"/>
              </w:rPr>
            </w:pPr>
          </w:p>
        </w:tc>
      </w:tr>
      <w:tr w:rsidR="00F60B5F" w:rsidRPr="005C751E" w:rsidTr="002976C5">
        <w:trPr>
          <w:cantSplit/>
          <w:trHeight w:hRule="exact" w:val="120"/>
        </w:trPr>
        <w:tc>
          <w:tcPr>
            <w:tcW w:w="3558" w:type="dxa"/>
            <w:tcBorders>
              <w:top w:val="nil"/>
              <w:left w:val="nil"/>
              <w:bottom w:val="single" w:sz="12" w:space="0" w:color="auto"/>
              <w:right w:val="nil"/>
            </w:tcBorders>
          </w:tcPr>
          <w:p w:rsidR="00F60B5F" w:rsidRPr="005C751E" w:rsidRDefault="00F60B5F" w:rsidP="009F309A">
            <w:pPr>
              <w:pStyle w:val="Tabletext"/>
              <w:rPr>
                <w:sz w:val="19"/>
                <w:szCs w:val="19"/>
                <w:lang w:eastAsia="en-AU"/>
              </w:rPr>
            </w:pPr>
          </w:p>
        </w:tc>
        <w:tc>
          <w:tcPr>
            <w:tcW w:w="1220" w:type="dxa"/>
            <w:tcBorders>
              <w:top w:val="nil"/>
              <w:left w:val="nil"/>
              <w:bottom w:val="single" w:sz="12" w:space="0" w:color="auto"/>
              <w:right w:val="nil"/>
            </w:tcBorders>
          </w:tcPr>
          <w:p w:rsidR="00F60B5F" w:rsidRPr="005C751E" w:rsidRDefault="00F60B5F" w:rsidP="009F309A">
            <w:pPr>
              <w:pStyle w:val="TableofFigures"/>
              <w:jc w:val="center"/>
              <w:rPr>
                <w:sz w:val="19"/>
                <w:szCs w:val="19"/>
                <w:lang w:eastAsia="en-AU"/>
              </w:rPr>
            </w:pPr>
          </w:p>
        </w:tc>
        <w:tc>
          <w:tcPr>
            <w:tcW w:w="1559" w:type="dxa"/>
            <w:tcBorders>
              <w:top w:val="nil"/>
              <w:left w:val="nil"/>
              <w:bottom w:val="single" w:sz="12" w:space="0" w:color="auto"/>
              <w:right w:val="nil"/>
            </w:tcBorders>
            <w:noWrap/>
            <w:vAlign w:val="bottom"/>
          </w:tcPr>
          <w:p w:rsidR="00F60B5F" w:rsidRPr="005C751E" w:rsidRDefault="00F60B5F" w:rsidP="009F309A">
            <w:pPr>
              <w:pStyle w:val="TableofFigures"/>
              <w:jc w:val="center"/>
              <w:rPr>
                <w:bCs/>
                <w:sz w:val="19"/>
                <w:szCs w:val="19"/>
                <w:lang w:eastAsia="en-AU"/>
              </w:rPr>
            </w:pPr>
          </w:p>
        </w:tc>
        <w:tc>
          <w:tcPr>
            <w:tcW w:w="1418" w:type="dxa"/>
            <w:tcBorders>
              <w:top w:val="nil"/>
              <w:left w:val="nil"/>
              <w:bottom w:val="single" w:sz="12" w:space="0" w:color="auto"/>
              <w:right w:val="nil"/>
            </w:tcBorders>
            <w:noWrap/>
            <w:vAlign w:val="bottom"/>
          </w:tcPr>
          <w:p w:rsidR="00F60B5F" w:rsidRPr="005C751E" w:rsidRDefault="00F60B5F" w:rsidP="009F309A">
            <w:pPr>
              <w:pStyle w:val="TableofFigures"/>
              <w:jc w:val="center"/>
              <w:rPr>
                <w:bCs/>
                <w:sz w:val="19"/>
                <w:szCs w:val="19"/>
                <w:lang w:eastAsia="en-AU"/>
              </w:rPr>
            </w:pPr>
          </w:p>
        </w:tc>
      </w:tr>
    </w:tbl>
    <w:p w:rsidR="00F60B5F" w:rsidRPr="00B56B1C" w:rsidRDefault="00F60B5F" w:rsidP="002976C5">
      <w:pPr>
        <w:pStyle w:val="Notes"/>
        <w:tabs>
          <w:tab w:val="right" w:pos="9602"/>
        </w:tabs>
        <w:rPr>
          <w:lang w:eastAsia="en-AU"/>
        </w:rPr>
      </w:pPr>
      <w:r w:rsidRPr="00B56B1C">
        <w:rPr>
          <w:lang w:eastAsia="en-AU"/>
        </w:rPr>
        <w:t>Notes:</w:t>
      </w:r>
    </w:p>
    <w:p w:rsidR="00F60B5F" w:rsidRPr="00B56B1C" w:rsidRDefault="00F60B5F" w:rsidP="002976C5">
      <w:pPr>
        <w:pStyle w:val="Notes"/>
        <w:rPr>
          <w:lang w:eastAsia="en-AU"/>
        </w:rPr>
      </w:pPr>
      <w:r w:rsidRPr="00B56B1C">
        <w:rPr>
          <w:lang w:eastAsia="en-AU"/>
        </w:rPr>
        <w:t>(a)</w:t>
      </w:r>
      <w:r w:rsidRPr="00B56B1C">
        <w:rPr>
          <w:lang w:eastAsia="en-AU"/>
        </w:rPr>
        <w:tab/>
        <w:t>Effective 1 July 2013, the following departments ceased to exist and had their functions and operations transferred to other Victorian government departments:</w:t>
      </w:r>
    </w:p>
    <w:p w:rsidR="00F60B5F" w:rsidRPr="00B56B1C" w:rsidRDefault="00F60B5F" w:rsidP="002976C5">
      <w:pPr>
        <w:pStyle w:val="NotesDash"/>
        <w:rPr>
          <w:lang w:eastAsia="en-AU"/>
        </w:rPr>
      </w:pPr>
      <w:r w:rsidRPr="00B56B1C">
        <w:rPr>
          <w:lang w:eastAsia="en-AU"/>
        </w:rPr>
        <w:t>Department of Planning and Community Development; and</w:t>
      </w:r>
    </w:p>
    <w:p w:rsidR="00F60B5F" w:rsidRPr="00B56B1C" w:rsidRDefault="00F60B5F" w:rsidP="000F63F5">
      <w:pPr>
        <w:pStyle w:val="NotesDash"/>
        <w:rPr>
          <w:lang w:eastAsia="en-AU"/>
        </w:rPr>
      </w:pPr>
      <w:r w:rsidRPr="00B56B1C">
        <w:rPr>
          <w:lang w:eastAsia="en-AU"/>
        </w:rPr>
        <w:t>Department of Primary Industries.</w:t>
      </w:r>
    </w:p>
    <w:p w:rsidR="00F60B5F" w:rsidRDefault="00F60B5F" w:rsidP="002976C5">
      <w:pPr>
        <w:pStyle w:val="Notes"/>
        <w:rPr>
          <w:lang w:eastAsia="en-AU"/>
        </w:rPr>
      </w:pPr>
      <w:r w:rsidRPr="00B56B1C">
        <w:rPr>
          <w:lang w:eastAsia="en-AU"/>
        </w:rPr>
        <w:t>(b)</w:t>
      </w:r>
      <w:r w:rsidRPr="00B56B1C">
        <w:rPr>
          <w:lang w:eastAsia="en-AU"/>
        </w:rPr>
        <w:tab/>
      </w:r>
      <w:r>
        <w:rPr>
          <w:lang w:eastAsia="en-AU"/>
        </w:rPr>
        <w:t>T</w:t>
      </w:r>
      <w:r w:rsidRPr="000F63F5">
        <w:rPr>
          <w:lang w:eastAsia="en-AU"/>
        </w:rPr>
        <w:t>he Education and Training Reform Amendment (Dual Sector Universities) Bill 2013 is currently before Parliament and, if enact</w:t>
      </w:r>
      <w:r>
        <w:rPr>
          <w:lang w:eastAsia="en-AU"/>
        </w:rPr>
        <w:t>ed, will give effect to the deconsolidation</w:t>
      </w:r>
      <w:r w:rsidRPr="000F63F5">
        <w:rPr>
          <w:lang w:eastAsia="en-AU"/>
        </w:rPr>
        <w:t xml:space="preserve"> of th</w:t>
      </w:r>
      <w:r>
        <w:rPr>
          <w:lang w:eastAsia="en-AU"/>
        </w:rPr>
        <w:t xml:space="preserve">e four dual sector universities </w:t>
      </w:r>
      <w:r w:rsidRPr="000F63F5">
        <w:rPr>
          <w:lang w:eastAsia="en-AU"/>
        </w:rPr>
        <w:t>from 1 January 2014.</w:t>
      </w:r>
    </w:p>
    <w:p w:rsidR="00F60B5F" w:rsidRPr="00B56B1C" w:rsidRDefault="00F60B5F" w:rsidP="002976C5">
      <w:pPr>
        <w:pStyle w:val="Notes"/>
        <w:rPr>
          <w:lang w:eastAsia="en-AU"/>
        </w:rPr>
      </w:pPr>
      <w:r>
        <w:rPr>
          <w:lang w:eastAsia="en-AU"/>
        </w:rPr>
        <w:t>(c)</w:t>
      </w:r>
      <w:r>
        <w:rPr>
          <w:lang w:eastAsia="en-AU"/>
        </w:rPr>
        <w:tab/>
      </w:r>
      <w:r w:rsidRPr="00B56B1C">
        <w:rPr>
          <w:lang w:eastAsia="en-AU"/>
        </w:rPr>
        <w:t>Entities moved as a result of the machinery of government changes effective 1 July 2013 from the Department of Primary Industries to the Department of Environment and Primary Industries.</w:t>
      </w:r>
    </w:p>
    <w:p w:rsidR="00F60B5F" w:rsidRPr="00B56B1C" w:rsidRDefault="00F60B5F" w:rsidP="002976C5">
      <w:pPr>
        <w:pStyle w:val="Notes"/>
        <w:rPr>
          <w:lang w:eastAsia="en-AU"/>
        </w:rPr>
      </w:pPr>
      <w:r w:rsidRPr="00B56B1C">
        <w:rPr>
          <w:lang w:eastAsia="en-AU"/>
        </w:rPr>
        <w:t>(</w:t>
      </w:r>
      <w:r>
        <w:rPr>
          <w:lang w:eastAsia="en-AU"/>
        </w:rPr>
        <w:t>d</w:t>
      </w:r>
      <w:r w:rsidRPr="00B56B1C">
        <w:rPr>
          <w:lang w:eastAsia="en-AU"/>
        </w:rPr>
        <w:t>)</w:t>
      </w:r>
      <w:r w:rsidRPr="00B56B1C">
        <w:rPr>
          <w:lang w:eastAsia="en-AU"/>
        </w:rPr>
        <w:tab/>
        <w:t>Entities moved as a result of the machinery of government changes effective 1 July 2013 from the Department of Planning and Community Development to the Department of Premier and Cabinet.</w:t>
      </w:r>
    </w:p>
    <w:p w:rsidR="00F60B5F" w:rsidRPr="00B56B1C" w:rsidRDefault="00F60B5F" w:rsidP="002976C5">
      <w:pPr>
        <w:pStyle w:val="Notes"/>
      </w:pPr>
      <w:r w:rsidRPr="00B56B1C">
        <w:rPr>
          <w:lang w:eastAsia="en-AU"/>
        </w:rPr>
        <w:t>(</w:t>
      </w:r>
      <w:r>
        <w:rPr>
          <w:lang w:eastAsia="en-AU"/>
        </w:rPr>
        <w:t>e</w:t>
      </w:r>
      <w:r w:rsidRPr="00B56B1C">
        <w:rPr>
          <w:lang w:eastAsia="en-AU"/>
        </w:rPr>
        <w:t>)</w:t>
      </w:r>
      <w:r w:rsidRPr="00B56B1C">
        <w:rPr>
          <w:lang w:eastAsia="en-AU"/>
        </w:rPr>
        <w:tab/>
      </w:r>
      <w:r w:rsidRPr="00B56B1C">
        <w:t xml:space="preserve">Effective from 29 August 2013, CenITex was transferred from the Department of Treasury and Finance to the Department of State Development, Business and Innovation. </w:t>
      </w:r>
    </w:p>
    <w:p w:rsidR="00F60B5F" w:rsidRPr="00B56B1C" w:rsidRDefault="00F60B5F" w:rsidP="002976C5">
      <w:pPr>
        <w:pStyle w:val="Notes"/>
      </w:pPr>
      <w:r w:rsidRPr="00B56B1C">
        <w:t>(</w:t>
      </w:r>
      <w:r>
        <w:t>f</w:t>
      </w:r>
      <w:r w:rsidRPr="00B56B1C">
        <w:t xml:space="preserve">) </w:t>
      </w:r>
      <w:r w:rsidRPr="00B56B1C">
        <w:tab/>
      </w:r>
      <w:r w:rsidRPr="00B56B1C">
        <w:rPr>
          <w:lang w:eastAsia="en-AU"/>
        </w:rPr>
        <w:t>Entity moved as a result of the machinery of government changes effective 1 July 2013 from the Department of Primary Industries to the Department of State Development, Business and Innovation.</w:t>
      </w:r>
    </w:p>
    <w:p w:rsidR="00F60B5F" w:rsidRPr="00B56B1C" w:rsidRDefault="00F60B5F" w:rsidP="002976C5">
      <w:pPr>
        <w:pStyle w:val="Notes"/>
        <w:rPr>
          <w:lang w:eastAsia="en-AU"/>
        </w:rPr>
      </w:pPr>
      <w:r>
        <w:rPr>
          <w:lang w:eastAsia="en-AU"/>
        </w:rPr>
        <w:t>(g</w:t>
      </w:r>
      <w:r w:rsidRPr="00B56B1C">
        <w:rPr>
          <w:lang w:eastAsia="en-AU"/>
        </w:rPr>
        <w:t>)</w:t>
      </w:r>
      <w:r w:rsidRPr="00B56B1C">
        <w:rPr>
          <w:lang w:eastAsia="en-AU"/>
        </w:rPr>
        <w:tab/>
        <w:t>Entity moved as a result of the machinery of government changes effective 1 July 2013 from the Department of Planning and Community Development to the Department of State Development, Business and Innovation.</w:t>
      </w:r>
    </w:p>
    <w:p w:rsidR="00F60B5F" w:rsidRPr="00B56B1C" w:rsidRDefault="00F60B5F" w:rsidP="002976C5">
      <w:pPr>
        <w:pStyle w:val="Notes"/>
        <w:rPr>
          <w:lang w:eastAsia="en-AU"/>
        </w:rPr>
      </w:pPr>
      <w:r>
        <w:rPr>
          <w:lang w:eastAsia="en-AU"/>
        </w:rPr>
        <w:t>(h</w:t>
      </w:r>
      <w:r w:rsidRPr="00B56B1C">
        <w:rPr>
          <w:lang w:eastAsia="en-AU"/>
        </w:rPr>
        <w:t>)</w:t>
      </w:r>
      <w:r w:rsidRPr="00B56B1C">
        <w:rPr>
          <w:lang w:eastAsia="en-AU"/>
        </w:rPr>
        <w:tab/>
        <w:t>At 30 June 2013, the Public Transport Ticketing Body ceased to exist and its operations transferred to Public Transport Victoria, a general government entity.</w:t>
      </w:r>
    </w:p>
    <w:p w:rsidR="00F60B5F" w:rsidRDefault="00F60B5F" w:rsidP="002976C5">
      <w:pPr>
        <w:pStyle w:val="Notes"/>
        <w:rPr>
          <w:lang w:eastAsia="en-AU"/>
        </w:rPr>
      </w:pPr>
      <w:r>
        <w:rPr>
          <w:lang w:eastAsia="en-AU"/>
        </w:rPr>
        <w:t>(i</w:t>
      </w:r>
      <w:r w:rsidRPr="00B56B1C">
        <w:rPr>
          <w:lang w:eastAsia="en-AU"/>
        </w:rPr>
        <w:t xml:space="preserve">) </w:t>
      </w:r>
      <w:r w:rsidRPr="00B56B1C">
        <w:rPr>
          <w:lang w:eastAsia="en-AU"/>
        </w:rPr>
        <w:tab/>
      </w:r>
      <w:r w:rsidRPr="00642264">
        <w:rPr>
          <w:lang w:eastAsia="en-AU"/>
        </w:rPr>
        <w:t>Effective 1 July 2013, the Building Commission, and Plumbing Industry Commission ceased to exist and operations were transferred to the Victorian Building Authority.</w:t>
      </w:r>
    </w:p>
    <w:p w:rsidR="00F60B5F" w:rsidRDefault="00F60B5F" w:rsidP="002976C5">
      <w:pPr>
        <w:pStyle w:val="Notes"/>
        <w:rPr>
          <w:lang w:eastAsia="en-AU"/>
        </w:rPr>
      </w:pPr>
      <w:r>
        <w:rPr>
          <w:lang w:eastAsia="en-AU"/>
        </w:rPr>
        <w:t>(j)</w:t>
      </w:r>
      <w:r>
        <w:rPr>
          <w:lang w:eastAsia="en-AU"/>
        </w:rPr>
        <w:tab/>
      </w:r>
      <w:r w:rsidRPr="00B56B1C">
        <w:rPr>
          <w:lang w:eastAsia="en-AU"/>
        </w:rPr>
        <w:t>Entity moved as a result of the machinery of government changes effective 1 July 2013 from the Department of Planning and Community Development to the Department of Transport, Planning and Local Infrastructure.</w:t>
      </w:r>
    </w:p>
    <w:p w:rsidR="00F60B5F" w:rsidRPr="00B56B1C" w:rsidRDefault="00F60B5F" w:rsidP="002976C5">
      <w:pPr>
        <w:pStyle w:val="Notes"/>
        <w:rPr>
          <w:lang w:eastAsia="en-AU"/>
        </w:rPr>
      </w:pPr>
      <w:r>
        <w:rPr>
          <w:lang w:eastAsia="en-AU"/>
        </w:rPr>
        <w:t>(k)</w:t>
      </w:r>
      <w:r>
        <w:rPr>
          <w:lang w:eastAsia="en-AU"/>
        </w:rPr>
        <w:tab/>
      </w:r>
      <w:r w:rsidRPr="00642264">
        <w:rPr>
          <w:lang w:eastAsia="en-AU"/>
        </w:rPr>
        <w:t>Effective 9 October, the Growth Areas Authority was renamed the Metropolitan Planning Authority.</w:t>
      </w:r>
    </w:p>
    <w:p w:rsidR="00F60B5F" w:rsidRPr="00B56B1C" w:rsidRDefault="00F60B5F" w:rsidP="002976C5">
      <w:pPr>
        <w:pStyle w:val="Notes"/>
        <w:rPr>
          <w:lang w:eastAsia="en-AU"/>
        </w:rPr>
      </w:pPr>
      <w:r>
        <w:t>(l</w:t>
      </w:r>
      <w:r w:rsidRPr="00B56B1C">
        <w:t>)</w:t>
      </w:r>
      <w:r w:rsidRPr="00B56B1C">
        <w:tab/>
      </w:r>
      <w:r w:rsidRPr="00B56B1C">
        <w:rPr>
          <w:lang w:eastAsia="en-AU"/>
        </w:rPr>
        <w:t xml:space="preserve">On 1 July 2013, </w:t>
      </w:r>
      <w:r>
        <w:rPr>
          <w:lang w:eastAsia="en-AU"/>
        </w:rPr>
        <w:t xml:space="preserve">the </w:t>
      </w:r>
      <w:r w:rsidRPr="00B56B1C">
        <w:rPr>
          <w:lang w:eastAsia="en-AU"/>
        </w:rPr>
        <w:t>Victorian Building Authority commenced operations.</w:t>
      </w:r>
    </w:p>
    <w:p w:rsidR="00F60B5F" w:rsidRPr="00B56B1C" w:rsidRDefault="00F60B5F" w:rsidP="009C502F">
      <w:pPr>
        <w:spacing w:after="0"/>
      </w:pPr>
    </w:p>
    <w:p w:rsidR="00F60B5F" w:rsidRDefault="00F60B5F" w:rsidP="00856AFF"/>
    <w:p w:rsidR="00F60B5F" w:rsidRDefault="00F60B5F" w:rsidP="00856AFF">
      <w:pPr>
        <w:sectPr w:rsidR="00F60B5F" w:rsidSect="006C00BC">
          <w:footerReference w:type="even" r:id="rId31"/>
          <w:footerReference w:type="default" r:id="rId32"/>
          <w:type w:val="oddPage"/>
          <w:pgSz w:w="9979" w:h="14181" w:code="138"/>
          <w:pgMar w:top="1138" w:right="1138" w:bottom="1138" w:left="1138" w:header="720" w:footer="720" w:gutter="0"/>
          <w:cols w:space="708"/>
          <w:docGrid w:linePitch="360"/>
        </w:sectPr>
      </w:pPr>
    </w:p>
    <w:p w:rsidR="00F60B5F" w:rsidRPr="00F27D04" w:rsidRDefault="00F60B5F" w:rsidP="009445B6">
      <w:pPr>
        <w:pStyle w:val="ChapterHeading"/>
      </w:pPr>
      <w:bookmarkStart w:id="51" w:name="_Toc374373958"/>
      <w:r w:rsidRPr="00F27D04">
        <w:t>Chapter 6 – Supplementary uniform presentation framework tables</w:t>
      </w:r>
      <w:bookmarkEnd w:id="51"/>
    </w:p>
    <w:p w:rsidR="00F60B5F" w:rsidRPr="00F27D04" w:rsidRDefault="00F60B5F" w:rsidP="00250CAA">
      <w:pPr>
        <w:pStyle w:val="Tableheading"/>
      </w:pPr>
      <w:r w:rsidRPr="00F27D04">
        <w:t>Table 6.1:</w:t>
      </w:r>
      <w:r w:rsidRPr="00F27D04">
        <w:tab/>
        <w:t>Public non</w:t>
      </w:r>
      <w:r>
        <w:noBreakHyphen/>
      </w:r>
      <w:r w:rsidRPr="00F27D04">
        <w:t>financial corporations sector comprehensive operating statement</w:t>
      </w:r>
    </w:p>
    <w:p w:rsidR="00F60B5F" w:rsidRPr="00E1323B" w:rsidRDefault="00F60B5F" w:rsidP="00E1323B">
      <w:pPr>
        <w:pStyle w:val="million"/>
      </w:pPr>
      <w:r w:rsidRPr="00F27D04">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04"/>
        <w:gridCol w:w="180"/>
        <w:gridCol w:w="648"/>
        <w:gridCol w:w="72"/>
        <w:gridCol w:w="378"/>
        <w:gridCol w:w="379"/>
        <w:gridCol w:w="829"/>
        <w:gridCol w:w="828"/>
        <w:gridCol w:w="829"/>
        <w:gridCol w:w="829"/>
      </w:tblGrid>
      <w:tr w:rsidR="00F60B5F" w:rsidRPr="00E1323B" w:rsidTr="002E09B7">
        <w:trPr>
          <w:cantSplit/>
          <w:tblHeader/>
        </w:trPr>
        <w:tc>
          <w:tcPr>
            <w:tcW w:w="2804" w:type="dxa"/>
            <w:tcBorders>
              <w:top w:val="single" w:sz="6" w:space="0" w:color="auto"/>
              <w:left w:val="single" w:sz="6" w:space="0" w:color="auto"/>
              <w:bottom w:val="nil"/>
              <w:right w:val="nil"/>
            </w:tcBorders>
            <w:shd w:val="clear" w:color="auto" w:fill="000000"/>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 </w:t>
            </w:r>
          </w:p>
        </w:tc>
        <w:tc>
          <w:tcPr>
            <w:tcW w:w="828" w:type="dxa"/>
            <w:gridSpan w:val="2"/>
            <w:tcBorders>
              <w:top w:val="single" w:sz="6" w:space="0" w:color="auto"/>
              <w:left w:val="nil"/>
              <w:bottom w:val="nil"/>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2012</w:t>
            </w:r>
            <w:r>
              <w:rPr>
                <w:rFonts w:eastAsiaTheme="minorEastAsia"/>
                <w:sz w:val="19"/>
                <w:lang w:eastAsia="en-AU"/>
              </w:rPr>
              <w:noBreakHyphen/>
            </w:r>
            <w:r w:rsidRPr="00E1323B">
              <w:rPr>
                <w:rFonts w:eastAsiaTheme="minorEastAsia"/>
                <w:sz w:val="19"/>
                <w:lang w:eastAsia="en-AU"/>
              </w:rPr>
              <w:t>13</w:t>
            </w:r>
          </w:p>
        </w:tc>
        <w:tc>
          <w:tcPr>
            <w:tcW w:w="829" w:type="dxa"/>
            <w:gridSpan w:val="3"/>
            <w:tcBorders>
              <w:top w:val="single" w:sz="6" w:space="0" w:color="auto"/>
              <w:left w:val="nil"/>
              <w:bottom w:val="nil"/>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2013</w:t>
            </w:r>
            <w:r>
              <w:rPr>
                <w:rFonts w:eastAsiaTheme="minorEastAsia"/>
                <w:sz w:val="19"/>
                <w:lang w:eastAsia="en-AU"/>
              </w:rPr>
              <w:noBreakHyphen/>
            </w:r>
            <w:r w:rsidRPr="00E1323B">
              <w:rPr>
                <w:rFonts w:eastAsiaTheme="minorEastAsia"/>
                <w:sz w:val="19"/>
                <w:lang w:eastAsia="en-AU"/>
              </w:rPr>
              <w:t>14</w:t>
            </w:r>
          </w:p>
        </w:tc>
        <w:tc>
          <w:tcPr>
            <w:tcW w:w="829" w:type="dxa"/>
            <w:tcBorders>
              <w:top w:val="single" w:sz="6" w:space="0" w:color="auto"/>
              <w:left w:val="nil"/>
              <w:bottom w:val="nil"/>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2013</w:t>
            </w:r>
            <w:r>
              <w:rPr>
                <w:rFonts w:eastAsiaTheme="minorEastAsia"/>
                <w:sz w:val="19"/>
                <w:lang w:eastAsia="en-AU"/>
              </w:rPr>
              <w:noBreakHyphen/>
            </w:r>
            <w:r w:rsidRPr="00E1323B">
              <w:rPr>
                <w:rFonts w:eastAsiaTheme="minorEastAsia"/>
                <w:sz w:val="19"/>
                <w:lang w:eastAsia="en-AU"/>
              </w:rPr>
              <w:t>14</w:t>
            </w:r>
          </w:p>
        </w:tc>
        <w:tc>
          <w:tcPr>
            <w:tcW w:w="828" w:type="dxa"/>
            <w:tcBorders>
              <w:top w:val="single" w:sz="6" w:space="0" w:color="auto"/>
              <w:left w:val="nil"/>
              <w:bottom w:val="nil"/>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2014</w:t>
            </w:r>
            <w:r>
              <w:rPr>
                <w:rFonts w:eastAsiaTheme="minorEastAsia"/>
                <w:sz w:val="19"/>
                <w:lang w:eastAsia="en-AU"/>
              </w:rPr>
              <w:noBreakHyphen/>
            </w:r>
            <w:r w:rsidRPr="00E1323B">
              <w:rPr>
                <w:rFonts w:eastAsiaTheme="minorEastAsia"/>
                <w:sz w:val="19"/>
                <w:lang w:eastAsia="en-AU"/>
              </w:rPr>
              <w:t>15</w:t>
            </w:r>
          </w:p>
        </w:tc>
        <w:tc>
          <w:tcPr>
            <w:tcW w:w="829" w:type="dxa"/>
            <w:tcBorders>
              <w:top w:val="single" w:sz="6" w:space="0" w:color="auto"/>
              <w:left w:val="nil"/>
              <w:bottom w:val="nil"/>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2015</w:t>
            </w:r>
            <w:r>
              <w:rPr>
                <w:rFonts w:eastAsiaTheme="minorEastAsia"/>
                <w:sz w:val="19"/>
                <w:lang w:eastAsia="en-AU"/>
              </w:rPr>
              <w:noBreakHyphen/>
            </w:r>
            <w:r w:rsidRPr="00E1323B">
              <w:rPr>
                <w:rFonts w:eastAsiaTheme="minorEastAsia"/>
                <w:sz w:val="19"/>
                <w:lang w:eastAsia="en-AU"/>
              </w:rPr>
              <w:t>16</w:t>
            </w:r>
          </w:p>
        </w:tc>
        <w:tc>
          <w:tcPr>
            <w:tcW w:w="829" w:type="dxa"/>
            <w:tcBorders>
              <w:top w:val="single" w:sz="6" w:space="0" w:color="auto"/>
              <w:left w:val="nil"/>
              <w:bottom w:val="nil"/>
              <w:right w:val="single" w:sz="6" w:space="0" w:color="auto"/>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2016</w:t>
            </w:r>
            <w:r>
              <w:rPr>
                <w:rFonts w:eastAsiaTheme="minorEastAsia"/>
                <w:sz w:val="19"/>
                <w:lang w:eastAsia="en-AU"/>
              </w:rPr>
              <w:noBreakHyphen/>
            </w:r>
            <w:r w:rsidRPr="00E1323B">
              <w:rPr>
                <w:rFonts w:eastAsiaTheme="minorEastAsia"/>
                <w:sz w:val="19"/>
                <w:lang w:eastAsia="en-AU"/>
              </w:rPr>
              <w:t>17</w:t>
            </w:r>
          </w:p>
        </w:tc>
      </w:tr>
      <w:tr w:rsidR="00F60B5F" w:rsidRPr="00E1323B" w:rsidTr="002E09B7">
        <w:trPr>
          <w:cantSplit/>
          <w:tblHeader/>
        </w:trPr>
        <w:tc>
          <w:tcPr>
            <w:tcW w:w="2804" w:type="dxa"/>
            <w:tcBorders>
              <w:left w:val="single" w:sz="6" w:space="0" w:color="auto"/>
              <w:bottom w:val="single" w:sz="6" w:space="0" w:color="auto"/>
              <w:right w:val="nil"/>
            </w:tcBorders>
            <w:shd w:val="clear" w:color="auto" w:fill="000000"/>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 </w:t>
            </w:r>
          </w:p>
        </w:tc>
        <w:tc>
          <w:tcPr>
            <w:tcW w:w="828" w:type="dxa"/>
            <w:gridSpan w:val="2"/>
            <w:tcBorders>
              <w:left w:val="nil"/>
              <w:bottom w:val="single" w:sz="6" w:space="0" w:color="auto"/>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Actual</w:t>
            </w:r>
          </w:p>
        </w:tc>
        <w:tc>
          <w:tcPr>
            <w:tcW w:w="829" w:type="dxa"/>
            <w:gridSpan w:val="3"/>
            <w:tcBorders>
              <w:left w:val="nil"/>
              <w:bottom w:val="single" w:sz="6" w:space="0" w:color="auto"/>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Estimate</w:t>
            </w:r>
          </w:p>
        </w:tc>
        <w:tc>
          <w:tcPr>
            <w:tcW w:w="829" w:type="dxa"/>
            <w:tcBorders>
              <w:left w:val="nil"/>
              <w:bottom w:val="single" w:sz="6" w:space="0" w:color="auto"/>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Revised</w:t>
            </w:r>
          </w:p>
        </w:tc>
        <w:tc>
          <w:tcPr>
            <w:tcW w:w="828" w:type="dxa"/>
            <w:tcBorders>
              <w:left w:val="nil"/>
              <w:bottom w:val="single" w:sz="6" w:space="0" w:color="auto"/>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Estimate</w:t>
            </w:r>
          </w:p>
        </w:tc>
        <w:tc>
          <w:tcPr>
            <w:tcW w:w="829" w:type="dxa"/>
            <w:tcBorders>
              <w:left w:val="nil"/>
              <w:bottom w:val="single" w:sz="6" w:space="0" w:color="auto"/>
              <w:right w:val="nil"/>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Estimate</w:t>
            </w:r>
          </w:p>
        </w:tc>
        <w:tc>
          <w:tcPr>
            <w:tcW w:w="829" w:type="dxa"/>
            <w:tcBorders>
              <w:left w:val="nil"/>
              <w:bottom w:val="single" w:sz="6" w:space="0" w:color="auto"/>
              <w:right w:val="single" w:sz="6" w:space="0" w:color="auto"/>
            </w:tcBorders>
            <w:shd w:val="clear" w:color="auto" w:fill="000000"/>
          </w:tcPr>
          <w:p w:rsidR="00F60B5F" w:rsidRPr="00E1323B" w:rsidRDefault="00F60B5F" w:rsidP="00E1323B">
            <w:pPr>
              <w:pStyle w:val="Tabletextheading"/>
              <w:rPr>
                <w:rFonts w:eastAsiaTheme="minorEastAsia"/>
                <w:sz w:val="19"/>
                <w:lang w:eastAsia="en-AU"/>
              </w:rPr>
            </w:pPr>
            <w:r w:rsidRPr="00E1323B">
              <w:rPr>
                <w:rFonts w:eastAsiaTheme="minorEastAsia"/>
                <w:sz w:val="19"/>
                <w:lang w:eastAsia="en-AU"/>
              </w:rPr>
              <w:t>Estimate</w:t>
            </w:r>
          </w:p>
        </w:tc>
      </w:tr>
      <w:tr w:rsidR="00F60B5F" w:rsidRPr="00E1323B" w:rsidTr="002E09B7">
        <w:tc>
          <w:tcPr>
            <w:tcW w:w="2804" w:type="dxa"/>
            <w:tcBorders>
              <w:top w:val="single" w:sz="6" w:space="0" w:color="auto"/>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Revenue</w:t>
            </w:r>
          </w:p>
        </w:tc>
        <w:tc>
          <w:tcPr>
            <w:tcW w:w="828" w:type="dxa"/>
            <w:gridSpan w:val="2"/>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gridSpan w:val="3"/>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8"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77.2</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42.2</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39.3</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35.1</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32.2</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30.9</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144.2</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82.9</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88.1</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91.5</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91.7</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94.9</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Sales of goods and services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4 915.7</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6 005.9</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5 790.2</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6 091.7</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6 227.8</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6 272.7</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Grants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2 654.4</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2 763.0</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2 831.8</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2 892.5</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2 848.7</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2 858.4</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current revenue</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460.6</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411.1</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383.5</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419.9</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438.1</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444.8</w:t>
            </w:r>
          </w:p>
        </w:tc>
      </w:tr>
      <w:tr w:rsidR="00F60B5F" w:rsidRPr="00E1323B" w:rsidTr="00E1323B">
        <w:tc>
          <w:tcPr>
            <w:tcW w:w="2804" w:type="dxa"/>
            <w:tcBorders>
              <w:top w:val="single" w:sz="6" w:space="0" w:color="auto"/>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Total revenue</w:t>
            </w:r>
          </w:p>
        </w:tc>
        <w:tc>
          <w:tcPr>
            <w:tcW w:w="828" w:type="dxa"/>
            <w:gridSpan w:val="2"/>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8 252.0</w:t>
            </w:r>
          </w:p>
        </w:tc>
        <w:tc>
          <w:tcPr>
            <w:tcW w:w="829" w:type="dxa"/>
            <w:gridSpan w:val="3"/>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9 305.1</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9 132.9</w:t>
            </w:r>
          </w:p>
        </w:tc>
        <w:tc>
          <w:tcPr>
            <w:tcW w:w="828"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9 530.6</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9 638.6</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9 701.8</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Expenses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Employee expenses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1 039.6</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1 046.1</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1 046.3</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1 077.4</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1 106.8</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1 130.8</w:t>
            </w:r>
          </w:p>
        </w:tc>
      </w:tr>
      <w:tr w:rsidR="00F60B5F" w:rsidRPr="00E1323B" w:rsidTr="00E1323B">
        <w:tc>
          <w:tcPr>
            <w:tcW w:w="2984" w:type="dxa"/>
            <w:gridSpan w:val="2"/>
            <w:tcBorders>
              <w:top w:val="nil"/>
              <w:left w:val="nil"/>
              <w:bottom w:val="nil"/>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Superannuation interest expense</w:t>
            </w:r>
            <w:r w:rsidRPr="00E1323B">
              <w:rPr>
                <w:rFonts w:eastAsiaTheme="minorEastAsia"/>
                <w:sz w:val="19"/>
                <w:vertAlign w:val="superscript"/>
                <w:lang w:eastAsia="en-AU"/>
              </w:rPr>
              <w:t xml:space="preserve"> (a)</w:t>
            </w:r>
          </w:p>
        </w:tc>
        <w:tc>
          <w:tcPr>
            <w:tcW w:w="64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( 2.5)</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superannuation</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92.9</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86.1</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87.0</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89.3</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92.1</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94.9</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Depreciation </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1 838.1</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2 019.3</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1 910.6</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1 977.4</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2 139.8</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2 322.2</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 expense</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1 001.4</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1 284.6</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1 223.6</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1 254.7</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1 279.9</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1 295.4</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Grants and other transfers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206.9</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235.1</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231.5</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232.1</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231.8</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124.9</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operating expenses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4 263.0</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4 809.8</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4 928.2</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5 128.4</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5 045.7</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5 109.9</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property expenses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110.9</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125.2</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74.7</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90.7</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110.5</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121.0</w:t>
            </w:r>
          </w:p>
        </w:tc>
      </w:tr>
      <w:tr w:rsidR="00F60B5F" w:rsidRPr="00E1323B" w:rsidTr="00E1323B">
        <w:tc>
          <w:tcPr>
            <w:tcW w:w="2804"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Total expenses</w:t>
            </w:r>
          </w:p>
        </w:tc>
        <w:tc>
          <w:tcPr>
            <w:tcW w:w="828"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8 550.3</w:t>
            </w:r>
          </w:p>
        </w:tc>
        <w:tc>
          <w:tcPr>
            <w:tcW w:w="829"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9 606.2</w:t>
            </w:r>
          </w:p>
        </w:tc>
        <w:tc>
          <w:tcPr>
            <w:tcW w:w="829"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9 501.9</w:t>
            </w:r>
          </w:p>
        </w:tc>
        <w:tc>
          <w:tcPr>
            <w:tcW w:w="828"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9 849.9</w:t>
            </w:r>
          </w:p>
        </w:tc>
        <w:tc>
          <w:tcPr>
            <w:tcW w:w="829"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10 006.6</w:t>
            </w:r>
          </w:p>
        </w:tc>
        <w:tc>
          <w:tcPr>
            <w:tcW w:w="829"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10 199.1</w:t>
            </w:r>
          </w:p>
        </w:tc>
      </w:tr>
      <w:tr w:rsidR="00F60B5F" w:rsidRPr="00E1323B" w:rsidTr="00E1323B">
        <w:tc>
          <w:tcPr>
            <w:tcW w:w="2804" w:type="dxa"/>
            <w:tcBorders>
              <w:top w:val="nil"/>
              <w:left w:val="nil"/>
              <w:bottom w:val="single" w:sz="12"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Net result from transactions</w:t>
            </w:r>
            <w:r>
              <w:rPr>
                <w:rFonts w:eastAsiaTheme="minorEastAsia"/>
                <w:b/>
                <w:sz w:val="19"/>
                <w:lang w:eastAsia="en-AU"/>
              </w:rPr>
              <w:t xml:space="preserve"> – </w:t>
            </w:r>
            <w:r w:rsidRPr="00E1323B">
              <w:rPr>
                <w:rFonts w:eastAsiaTheme="minorEastAsia"/>
                <w:b/>
                <w:sz w:val="19"/>
                <w:lang w:eastAsia="en-AU"/>
              </w:rPr>
              <w:t>net operating balance</w:t>
            </w:r>
          </w:p>
        </w:tc>
        <w:tc>
          <w:tcPr>
            <w:tcW w:w="828" w:type="dxa"/>
            <w:gridSpan w:val="2"/>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( 298.2)</w:t>
            </w:r>
          </w:p>
        </w:tc>
        <w:tc>
          <w:tcPr>
            <w:tcW w:w="829" w:type="dxa"/>
            <w:gridSpan w:val="3"/>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( 301.1)</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( 369.0)</w:t>
            </w:r>
          </w:p>
        </w:tc>
        <w:tc>
          <w:tcPr>
            <w:tcW w:w="828"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( 319.2)</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( 368.0)</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( 497.2)</w:t>
            </w:r>
          </w:p>
        </w:tc>
      </w:tr>
      <w:tr w:rsidR="00F60B5F" w:rsidRPr="00E1323B" w:rsidTr="002E09B7">
        <w:tc>
          <w:tcPr>
            <w:tcW w:w="3704" w:type="dxa"/>
            <w:gridSpan w:val="4"/>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Other economic flows included in net result</w:t>
            </w:r>
          </w:p>
        </w:tc>
        <w:tc>
          <w:tcPr>
            <w:tcW w:w="37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37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gain/(loss) on sale of non</w:t>
            </w:r>
            <w:r>
              <w:rPr>
                <w:rFonts w:eastAsiaTheme="minorEastAsia"/>
                <w:sz w:val="19"/>
                <w:lang w:eastAsia="en-AU"/>
              </w:rPr>
              <w:noBreakHyphen/>
            </w:r>
            <w:r w:rsidRPr="00E1323B">
              <w:rPr>
                <w:rFonts w:eastAsiaTheme="minorEastAsia"/>
                <w:sz w:val="19"/>
                <w:lang w:eastAsia="en-AU"/>
              </w:rPr>
              <w:t>financial assets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0.3</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( 4.6)</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( 5.4)</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( 2.9)</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( 2.8)</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1.1</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gain/(loss) on financial assets or liabilities at fair value</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( 48.8)</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1.2</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1.4</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1.2</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1.0</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0.8</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Share of net profit/(loss) from associates/ joint venture entities, excluding dividends</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( 77.7)</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ind w:left="187" w:hanging="187"/>
              <w:rPr>
                <w:rFonts w:eastAsiaTheme="minorEastAsia"/>
                <w:sz w:val="19"/>
                <w:vertAlign w:val="superscript"/>
                <w:lang w:eastAsia="en-AU"/>
              </w:rPr>
            </w:pPr>
            <w:r w:rsidRPr="00E1323B">
              <w:rPr>
                <w:rFonts w:eastAsiaTheme="minorEastAsia"/>
                <w:sz w:val="19"/>
                <w:lang w:eastAsia="en-AU"/>
              </w:rPr>
              <w:t>Other gains/(losses) from other economic flows</w:t>
            </w:r>
            <w:r w:rsidRPr="00E1323B">
              <w:rPr>
                <w:rFonts w:eastAsiaTheme="minorEastAsia"/>
                <w:sz w:val="19"/>
                <w:vertAlign w:val="superscript"/>
                <w:lang w:eastAsia="en-AU"/>
              </w:rPr>
              <w:t xml:space="preserve"> </w:t>
            </w:r>
          </w:p>
        </w:tc>
        <w:tc>
          <w:tcPr>
            <w:tcW w:w="828" w:type="dxa"/>
            <w:gridSpan w:val="2"/>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47.5</w:t>
            </w:r>
          </w:p>
        </w:tc>
        <w:tc>
          <w:tcPr>
            <w:tcW w:w="829" w:type="dxa"/>
            <w:gridSpan w:val="3"/>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67.6</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114.0</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125.5</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152.3</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185.3</w:t>
            </w:r>
          </w:p>
        </w:tc>
      </w:tr>
      <w:tr w:rsidR="00F60B5F" w:rsidRPr="00E1323B" w:rsidTr="00E1323B">
        <w:tc>
          <w:tcPr>
            <w:tcW w:w="2804" w:type="dxa"/>
            <w:tcBorders>
              <w:top w:val="single" w:sz="6" w:space="0" w:color="auto"/>
              <w:left w:val="nil"/>
              <w:bottom w:val="single" w:sz="6" w:space="0" w:color="auto"/>
              <w:right w:val="nil"/>
            </w:tcBorders>
          </w:tcPr>
          <w:p w:rsidR="00F60B5F" w:rsidRPr="00E1323B" w:rsidRDefault="00F60B5F" w:rsidP="00E1323B">
            <w:pPr>
              <w:pStyle w:val="Tabletext"/>
              <w:keepNext/>
              <w:ind w:left="187" w:hanging="187"/>
              <w:rPr>
                <w:rFonts w:eastAsiaTheme="minorEastAsia"/>
                <w:b/>
                <w:sz w:val="19"/>
                <w:lang w:eastAsia="en-AU"/>
              </w:rPr>
            </w:pPr>
            <w:r w:rsidRPr="00E1323B">
              <w:rPr>
                <w:rFonts w:eastAsiaTheme="minorEastAsia"/>
                <w:b/>
                <w:sz w:val="19"/>
                <w:lang w:eastAsia="en-AU"/>
              </w:rPr>
              <w:t>Total other economic flows included in net result</w:t>
            </w:r>
          </w:p>
        </w:tc>
        <w:tc>
          <w:tcPr>
            <w:tcW w:w="828" w:type="dxa"/>
            <w:gridSpan w:val="2"/>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( 78.6)</w:t>
            </w:r>
          </w:p>
        </w:tc>
        <w:tc>
          <w:tcPr>
            <w:tcW w:w="829" w:type="dxa"/>
            <w:gridSpan w:val="3"/>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64.2</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110.0</w:t>
            </w:r>
          </w:p>
        </w:tc>
        <w:tc>
          <w:tcPr>
            <w:tcW w:w="828"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123.8</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150.5</w:t>
            </w:r>
          </w:p>
        </w:tc>
        <w:tc>
          <w:tcPr>
            <w:tcW w:w="829" w:type="dxa"/>
            <w:tcBorders>
              <w:top w:val="single" w:sz="6" w:space="0" w:color="auto"/>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187.2</w:t>
            </w:r>
          </w:p>
        </w:tc>
      </w:tr>
      <w:tr w:rsidR="00F60B5F" w:rsidRPr="00E1323B" w:rsidTr="00E1323B">
        <w:tc>
          <w:tcPr>
            <w:tcW w:w="2804"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Net result</w:t>
            </w:r>
          </w:p>
        </w:tc>
        <w:tc>
          <w:tcPr>
            <w:tcW w:w="828" w:type="dxa"/>
            <w:gridSpan w:val="2"/>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( 376.8)</w:t>
            </w:r>
          </w:p>
        </w:tc>
        <w:tc>
          <w:tcPr>
            <w:tcW w:w="829" w:type="dxa"/>
            <w:gridSpan w:val="3"/>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( 236.9)</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( 259.0)</w:t>
            </w:r>
          </w:p>
        </w:tc>
        <w:tc>
          <w:tcPr>
            <w:tcW w:w="828"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( 195.4)</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( 217.5)</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( 310.1)</w:t>
            </w:r>
          </w:p>
        </w:tc>
      </w:tr>
    </w:tbl>
    <w:p w:rsidR="00F60B5F" w:rsidRPr="002E09B7" w:rsidRDefault="00F60B5F" w:rsidP="002E09B7">
      <w:pPr>
        <w:pStyle w:val="Tableheading"/>
        <w:rPr>
          <w:i/>
        </w:rPr>
      </w:pPr>
      <w:r w:rsidRPr="00F27D04">
        <w:t>Table 6.1:</w:t>
      </w:r>
      <w:r w:rsidRPr="00F27D04">
        <w:tab/>
        <w:t>Public non</w:t>
      </w:r>
      <w:r>
        <w:noBreakHyphen/>
      </w:r>
      <w:r w:rsidRPr="00F27D04">
        <w:t>financial corporations sector comprehensive operating statement</w:t>
      </w:r>
      <w:r>
        <w:t xml:space="preserve"> </w:t>
      </w:r>
      <w:r w:rsidRPr="002E09B7">
        <w:rPr>
          <w:i/>
        </w:rPr>
        <w:t>(</w:t>
      </w:r>
      <w:r>
        <w:rPr>
          <w:i/>
        </w:rPr>
        <w:t>continued)</w:t>
      </w:r>
    </w:p>
    <w:p w:rsidR="00F60B5F" w:rsidRDefault="00F60B5F" w:rsidP="002E09B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04"/>
        <w:gridCol w:w="828"/>
        <w:gridCol w:w="829"/>
        <w:gridCol w:w="829"/>
        <w:gridCol w:w="828"/>
        <w:gridCol w:w="829"/>
        <w:gridCol w:w="829"/>
      </w:tblGrid>
      <w:tr w:rsidR="00F60B5F" w:rsidRPr="002E09B7" w:rsidTr="00C13386">
        <w:trPr>
          <w:cantSplit/>
          <w:tblHeader/>
        </w:trPr>
        <w:tc>
          <w:tcPr>
            <w:tcW w:w="2804" w:type="dxa"/>
            <w:tcBorders>
              <w:top w:val="single" w:sz="6" w:space="0" w:color="auto"/>
              <w:left w:val="single" w:sz="6" w:space="0" w:color="auto"/>
              <w:bottom w:val="nil"/>
              <w:right w:val="nil"/>
            </w:tcBorders>
            <w:shd w:val="clear" w:color="auto" w:fill="000000"/>
          </w:tcPr>
          <w:p w:rsidR="00F60B5F" w:rsidRPr="00E1323B" w:rsidRDefault="00F60B5F" w:rsidP="00C13386">
            <w:pPr>
              <w:pStyle w:val="Tabletext"/>
              <w:rPr>
                <w:rFonts w:eastAsiaTheme="minorEastAsia"/>
                <w:sz w:val="19"/>
                <w:lang w:eastAsia="en-AU"/>
              </w:rPr>
            </w:pPr>
          </w:p>
        </w:tc>
        <w:tc>
          <w:tcPr>
            <w:tcW w:w="828" w:type="dxa"/>
            <w:tcBorders>
              <w:top w:val="single" w:sz="6" w:space="0" w:color="auto"/>
              <w:left w:val="nil"/>
              <w:bottom w:val="nil"/>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2012</w:t>
            </w:r>
            <w:r>
              <w:rPr>
                <w:rFonts w:eastAsiaTheme="minorEastAsia"/>
                <w:color w:val="FFFFFF" w:themeColor="background1"/>
                <w:sz w:val="19"/>
                <w:lang w:eastAsia="en-AU"/>
              </w:rPr>
              <w:noBreakHyphen/>
            </w:r>
            <w:r w:rsidRPr="002E09B7">
              <w:rPr>
                <w:rFonts w:eastAsiaTheme="minorEastAsia"/>
                <w:color w:val="FFFFFF" w:themeColor="background1"/>
                <w:sz w:val="19"/>
                <w:lang w:eastAsia="en-AU"/>
              </w:rPr>
              <w:t>13</w:t>
            </w:r>
          </w:p>
        </w:tc>
        <w:tc>
          <w:tcPr>
            <w:tcW w:w="829" w:type="dxa"/>
            <w:tcBorders>
              <w:top w:val="single" w:sz="6" w:space="0" w:color="auto"/>
              <w:left w:val="nil"/>
              <w:bottom w:val="nil"/>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2013</w:t>
            </w:r>
            <w:r>
              <w:rPr>
                <w:rFonts w:eastAsiaTheme="minorEastAsia"/>
                <w:color w:val="FFFFFF" w:themeColor="background1"/>
                <w:sz w:val="19"/>
                <w:lang w:eastAsia="en-AU"/>
              </w:rPr>
              <w:noBreakHyphen/>
            </w:r>
            <w:r w:rsidRPr="002E09B7">
              <w:rPr>
                <w:rFonts w:eastAsiaTheme="minorEastAsia"/>
                <w:color w:val="FFFFFF" w:themeColor="background1"/>
                <w:sz w:val="19"/>
                <w:lang w:eastAsia="en-AU"/>
              </w:rPr>
              <w:t>14</w:t>
            </w:r>
          </w:p>
        </w:tc>
        <w:tc>
          <w:tcPr>
            <w:tcW w:w="829" w:type="dxa"/>
            <w:tcBorders>
              <w:top w:val="single" w:sz="6" w:space="0" w:color="auto"/>
              <w:left w:val="nil"/>
              <w:bottom w:val="nil"/>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2013</w:t>
            </w:r>
            <w:r>
              <w:rPr>
                <w:rFonts w:eastAsiaTheme="minorEastAsia"/>
                <w:color w:val="FFFFFF" w:themeColor="background1"/>
                <w:sz w:val="19"/>
                <w:lang w:eastAsia="en-AU"/>
              </w:rPr>
              <w:noBreakHyphen/>
            </w:r>
            <w:r w:rsidRPr="002E09B7">
              <w:rPr>
                <w:rFonts w:eastAsiaTheme="minorEastAsia"/>
                <w:color w:val="FFFFFF" w:themeColor="background1"/>
                <w:sz w:val="19"/>
                <w:lang w:eastAsia="en-AU"/>
              </w:rPr>
              <w:t>14</w:t>
            </w:r>
          </w:p>
        </w:tc>
        <w:tc>
          <w:tcPr>
            <w:tcW w:w="828" w:type="dxa"/>
            <w:tcBorders>
              <w:top w:val="single" w:sz="6" w:space="0" w:color="auto"/>
              <w:left w:val="nil"/>
              <w:bottom w:val="nil"/>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2014</w:t>
            </w:r>
            <w:r>
              <w:rPr>
                <w:rFonts w:eastAsiaTheme="minorEastAsia"/>
                <w:color w:val="FFFFFF" w:themeColor="background1"/>
                <w:sz w:val="19"/>
                <w:lang w:eastAsia="en-AU"/>
              </w:rPr>
              <w:noBreakHyphen/>
            </w:r>
            <w:r w:rsidRPr="002E09B7">
              <w:rPr>
                <w:rFonts w:eastAsiaTheme="minorEastAsia"/>
                <w:color w:val="FFFFFF" w:themeColor="background1"/>
                <w:sz w:val="19"/>
                <w:lang w:eastAsia="en-AU"/>
              </w:rPr>
              <w:t>15</w:t>
            </w:r>
          </w:p>
        </w:tc>
        <w:tc>
          <w:tcPr>
            <w:tcW w:w="829" w:type="dxa"/>
            <w:tcBorders>
              <w:top w:val="single" w:sz="6" w:space="0" w:color="auto"/>
              <w:left w:val="nil"/>
              <w:bottom w:val="nil"/>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2015</w:t>
            </w:r>
            <w:r>
              <w:rPr>
                <w:rFonts w:eastAsiaTheme="minorEastAsia"/>
                <w:color w:val="FFFFFF" w:themeColor="background1"/>
                <w:sz w:val="19"/>
                <w:lang w:eastAsia="en-AU"/>
              </w:rPr>
              <w:noBreakHyphen/>
            </w:r>
            <w:r w:rsidRPr="002E09B7">
              <w:rPr>
                <w:rFonts w:eastAsiaTheme="minorEastAsia"/>
                <w:color w:val="FFFFFF" w:themeColor="background1"/>
                <w:sz w:val="19"/>
                <w:lang w:eastAsia="en-AU"/>
              </w:rPr>
              <w:t>16</w:t>
            </w:r>
          </w:p>
        </w:tc>
        <w:tc>
          <w:tcPr>
            <w:tcW w:w="829" w:type="dxa"/>
            <w:tcBorders>
              <w:top w:val="single" w:sz="6" w:space="0" w:color="auto"/>
              <w:left w:val="nil"/>
              <w:bottom w:val="nil"/>
              <w:right w:val="single" w:sz="6" w:space="0" w:color="auto"/>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2016</w:t>
            </w:r>
            <w:r>
              <w:rPr>
                <w:rFonts w:eastAsiaTheme="minorEastAsia"/>
                <w:color w:val="FFFFFF" w:themeColor="background1"/>
                <w:sz w:val="19"/>
                <w:lang w:eastAsia="en-AU"/>
              </w:rPr>
              <w:noBreakHyphen/>
            </w:r>
            <w:r w:rsidRPr="002E09B7">
              <w:rPr>
                <w:rFonts w:eastAsiaTheme="minorEastAsia"/>
                <w:color w:val="FFFFFF" w:themeColor="background1"/>
                <w:sz w:val="19"/>
                <w:lang w:eastAsia="en-AU"/>
              </w:rPr>
              <w:t>17</w:t>
            </w:r>
          </w:p>
        </w:tc>
      </w:tr>
      <w:tr w:rsidR="00F60B5F" w:rsidRPr="002E09B7" w:rsidTr="00C13386">
        <w:trPr>
          <w:cantSplit/>
          <w:tblHeader/>
        </w:trPr>
        <w:tc>
          <w:tcPr>
            <w:tcW w:w="2804" w:type="dxa"/>
            <w:tcBorders>
              <w:left w:val="single" w:sz="6" w:space="0" w:color="auto"/>
              <w:bottom w:val="single" w:sz="6" w:space="0" w:color="auto"/>
              <w:right w:val="nil"/>
            </w:tcBorders>
            <w:shd w:val="clear" w:color="auto" w:fill="000000"/>
          </w:tcPr>
          <w:p w:rsidR="00F60B5F" w:rsidRPr="00E1323B" w:rsidRDefault="00F60B5F" w:rsidP="00C13386">
            <w:pPr>
              <w:pStyle w:val="Tabletext"/>
              <w:rPr>
                <w:rFonts w:eastAsiaTheme="minorEastAsia"/>
                <w:sz w:val="19"/>
                <w:lang w:eastAsia="en-AU"/>
              </w:rPr>
            </w:pPr>
            <w:r w:rsidRPr="00E1323B">
              <w:rPr>
                <w:rFonts w:eastAsiaTheme="minorEastAsia"/>
                <w:sz w:val="19"/>
                <w:lang w:eastAsia="en-AU"/>
              </w:rPr>
              <w:t xml:space="preserve"> </w:t>
            </w:r>
          </w:p>
        </w:tc>
        <w:tc>
          <w:tcPr>
            <w:tcW w:w="828" w:type="dxa"/>
            <w:tcBorders>
              <w:left w:val="nil"/>
              <w:bottom w:val="single" w:sz="6" w:space="0" w:color="auto"/>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Actual</w:t>
            </w:r>
          </w:p>
        </w:tc>
        <w:tc>
          <w:tcPr>
            <w:tcW w:w="829" w:type="dxa"/>
            <w:tcBorders>
              <w:left w:val="nil"/>
              <w:bottom w:val="single" w:sz="6" w:space="0" w:color="auto"/>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Estimate</w:t>
            </w:r>
          </w:p>
        </w:tc>
        <w:tc>
          <w:tcPr>
            <w:tcW w:w="829" w:type="dxa"/>
            <w:tcBorders>
              <w:left w:val="nil"/>
              <w:bottom w:val="single" w:sz="6" w:space="0" w:color="auto"/>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Revised</w:t>
            </w:r>
          </w:p>
        </w:tc>
        <w:tc>
          <w:tcPr>
            <w:tcW w:w="828" w:type="dxa"/>
            <w:tcBorders>
              <w:left w:val="nil"/>
              <w:bottom w:val="single" w:sz="6" w:space="0" w:color="auto"/>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Estimate</w:t>
            </w:r>
          </w:p>
        </w:tc>
        <w:tc>
          <w:tcPr>
            <w:tcW w:w="829" w:type="dxa"/>
            <w:tcBorders>
              <w:left w:val="nil"/>
              <w:bottom w:val="single" w:sz="6" w:space="0" w:color="auto"/>
              <w:right w:val="nil"/>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Estimate</w:t>
            </w:r>
          </w:p>
        </w:tc>
        <w:tc>
          <w:tcPr>
            <w:tcW w:w="829" w:type="dxa"/>
            <w:tcBorders>
              <w:left w:val="nil"/>
              <w:bottom w:val="single" w:sz="6" w:space="0" w:color="auto"/>
              <w:right w:val="single" w:sz="6" w:space="0" w:color="auto"/>
            </w:tcBorders>
            <w:shd w:val="clear" w:color="auto" w:fill="000000"/>
          </w:tcPr>
          <w:p w:rsidR="00F60B5F" w:rsidRPr="002E09B7" w:rsidRDefault="00F60B5F" w:rsidP="00C13386">
            <w:pPr>
              <w:pStyle w:val="Tabletextheading"/>
              <w:rPr>
                <w:rFonts w:eastAsiaTheme="minorEastAsia"/>
                <w:color w:val="FFFFFF" w:themeColor="background1"/>
                <w:sz w:val="19"/>
                <w:lang w:eastAsia="en-AU"/>
              </w:rPr>
            </w:pPr>
            <w:r w:rsidRPr="002E09B7">
              <w:rPr>
                <w:rFonts w:eastAsiaTheme="minorEastAsia"/>
                <w:color w:val="FFFFFF" w:themeColor="background1"/>
                <w:sz w:val="19"/>
                <w:lang w:eastAsia="en-AU"/>
              </w:rPr>
              <w:t>Estimate</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 xml:space="preserve">Other economic flows – other comprehensive income </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Items that will not be reclassified to net result</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Changes in non</w:t>
            </w:r>
            <w:r>
              <w:rPr>
                <w:rFonts w:eastAsiaTheme="minorEastAsia"/>
                <w:sz w:val="19"/>
                <w:lang w:eastAsia="en-AU"/>
              </w:rPr>
              <w:noBreakHyphen/>
            </w:r>
            <w:r w:rsidRPr="00E1323B">
              <w:rPr>
                <w:rFonts w:eastAsiaTheme="minorEastAsia"/>
                <w:sz w:val="19"/>
                <w:lang w:eastAsia="en-AU"/>
              </w:rPr>
              <w:t>financial assets revaluation surplus</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( 133.2)</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1 876.6</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1 874.1</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2 779.3</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1 268.0</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( 121.3)</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 xml:space="preserve">Remeasurement of superannuation defined benefit plans </w:t>
            </w:r>
            <w:r w:rsidRPr="00E1323B">
              <w:rPr>
                <w:rFonts w:eastAsiaTheme="minorEastAsia"/>
                <w:sz w:val="19"/>
                <w:vertAlign w:val="superscript"/>
                <w:lang w:eastAsia="en-AU"/>
              </w:rPr>
              <w:t>(a)</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42.0</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( 4.3)</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( 4.3)</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( 4.3)</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( 4.3)</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movements in equity</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( 582.9)</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2.4</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( 0.3)</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1.8</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0.3</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( 1.5)</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Items that may be reclassified subsequently to net result</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gain/(loss) on financial assets at fair value</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63.9</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6.9</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23.5</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( 9.0)</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1.4</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( 0.3)</w:t>
            </w:r>
          </w:p>
        </w:tc>
      </w:tr>
      <w:tr w:rsidR="00F60B5F" w:rsidRPr="00E1323B" w:rsidTr="00E1323B">
        <w:tc>
          <w:tcPr>
            <w:tcW w:w="2804"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Total other economic flows – other comprehensive income</w:t>
            </w:r>
          </w:p>
        </w:tc>
        <w:tc>
          <w:tcPr>
            <w:tcW w:w="828"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( 610.2)</w:t>
            </w:r>
          </w:p>
        </w:tc>
        <w:tc>
          <w:tcPr>
            <w:tcW w:w="829"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1 885.9</w:t>
            </w:r>
          </w:p>
        </w:tc>
        <w:tc>
          <w:tcPr>
            <w:tcW w:w="829"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1 893.0</w:t>
            </w:r>
          </w:p>
        </w:tc>
        <w:tc>
          <w:tcPr>
            <w:tcW w:w="828"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2 767.8</w:t>
            </w:r>
          </w:p>
        </w:tc>
        <w:tc>
          <w:tcPr>
            <w:tcW w:w="829"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1 265.4</w:t>
            </w:r>
          </w:p>
        </w:tc>
        <w:tc>
          <w:tcPr>
            <w:tcW w:w="829"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( 127.4)</w:t>
            </w:r>
          </w:p>
        </w:tc>
      </w:tr>
      <w:tr w:rsidR="00F60B5F" w:rsidRPr="00E1323B" w:rsidTr="00E1323B">
        <w:tc>
          <w:tcPr>
            <w:tcW w:w="2804"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Comprehensive result – total change in net worth</w:t>
            </w:r>
          </w:p>
        </w:tc>
        <w:tc>
          <w:tcPr>
            <w:tcW w:w="828"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( 987.0)</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1 649.1</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1 634.0</w:t>
            </w:r>
          </w:p>
        </w:tc>
        <w:tc>
          <w:tcPr>
            <w:tcW w:w="828"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2 572.4</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1 047.8</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( 437.5)</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FISCAL AGGREGATES</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xml:space="preserve"> </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Net operating balance</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( 298.2)</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( 301.1)</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( 369.0)</w:t>
            </w:r>
          </w:p>
        </w:tc>
        <w:tc>
          <w:tcPr>
            <w:tcW w:w="828"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( 319.2)</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( 368.0)</w:t>
            </w:r>
          </w:p>
        </w:tc>
        <w:tc>
          <w:tcPr>
            <w:tcW w:w="829" w:type="dxa"/>
            <w:tcBorders>
              <w:top w:val="nil"/>
              <w:left w:val="nil"/>
              <w:bottom w:val="nil"/>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( 497.2)</w:t>
            </w:r>
          </w:p>
        </w:tc>
      </w:tr>
      <w:tr w:rsidR="00F60B5F" w:rsidRPr="00E1323B" w:rsidTr="00E1323B">
        <w:tc>
          <w:tcPr>
            <w:tcW w:w="2804"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Less: net acquisition of non</w:t>
            </w:r>
            <w:r>
              <w:rPr>
                <w:rFonts w:eastAsiaTheme="minorEastAsia"/>
                <w:sz w:val="19"/>
                <w:lang w:eastAsia="en-AU"/>
              </w:rPr>
              <w:noBreakHyphen/>
            </w:r>
            <w:r w:rsidRPr="00E1323B">
              <w:rPr>
                <w:rFonts w:eastAsiaTheme="minorEastAsia"/>
                <w:sz w:val="19"/>
                <w:lang w:eastAsia="en-AU"/>
              </w:rPr>
              <w:t>financial assets from transactions</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6 181.3</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1 704.5</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2 147.6</w:t>
            </w:r>
          </w:p>
        </w:tc>
        <w:tc>
          <w:tcPr>
            <w:tcW w:w="828"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1 718.2</w:t>
            </w:r>
          </w:p>
        </w:tc>
        <w:tc>
          <w:tcPr>
            <w:tcW w:w="829" w:type="dxa"/>
            <w:tcBorders>
              <w:top w:val="nil"/>
              <w:left w:val="nil"/>
              <w:bottom w:val="nil"/>
              <w:right w:val="nil"/>
            </w:tcBorders>
          </w:tcPr>
          <w:p w:rsidR="00F60B5F" w:rsidRPr="00E1323B" w:rsidRDefault="00F60B5F" w:rsidP="00E1323B">
            <w:pPr>
              <w:pStyle w:val="TableofFigures"/>
              <w:rPr>
                <w:rFonts w:eastAsiaTheme="minorEastAsia"/>
                <w:color w:val="000000"/>
                <w:sz w:val="19"/>
                <w:lang w:eastAsia="en-AU"/>
              </w:rPr>
            </w:pPr>
            <w:r w:rsidRPr="00E1323B">
              <w:rPr>
                <w:rFonts w:eastAsiaTheme="minorEastAsia"/>
                <w:color w:val="000000"/>
                <w:sz w:val="19"/>
                <w:lang w:eastAsia="en-AU"/>
              </w:rPr>
              <w:t xml:space="preserve"> 663.7</w:t>
            </w:r>
          </w:p>
        </w:tc>
        <w:tc>
          <w:tcPr>
            <w:tcW w:w="829" w:type="dxa"/>
            <w:tcBorders>
              <w:top w:val="nil"/>
              <w:left w:val="nil"/>
              <w:bottom w:val="nil"/>
              <w:right w:val="nil"/>
            </w:tcBorders>
          </w:tcPr>
          <w:p w:rsidR="00F60B5F" w:rsidRPr="00E1323B" w:rsidRDefault="00F60B5F" w:rsidP="00E1323B">
            <w:pPr>
              <w:pStyle w:val="TableofFigures"/>
              <w:rPr>
                <w:rFonts w:eastAsiaTheme="minorEastAsia" w:cs="Calibri"/>
                <w:color w:val="000000"/>
                <w:lang w:eastAsia="en-AU"/>
              </w:rPr>
            </w:pPr>
            <w:r w:rsidRPr="00E1323B">
              <w:rPr>
                <w:rFonts w:eastAsiaTheme="minorEastAsia"/>
                <w:color w:val="000000"/>
                <w:sz w:val="19"/>
                <w:lang w:eastAsia="en-AU"/>
              </w:rPr>
              <w:t>( 142.2</w:t>
            </w:r>
            <w:r w:rsidRPr="00E1323B">
              <w:rPr>
                <w:rFonts w:eastAsiaTheme="minorEastAsia" w:cs="Calibri"/>
                <w:color w:val="000000"/>
                <w:lang w:eastAsia="en-AU"/>
              </w:rPr>
              <w:t>)</w:t>
            </w:r>
          </w:p>
        </w:tc>
      </w:tr>
      <w:tr w:rsidR="00F60B5F" w:rsidRPr="00E1323B" w:rsidTr="00E1323B">
        <w:tc>
          <w:tcPr>
            <w:tcW w:w="2804"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Net lending/(borrowing)</w:t>
            </w:r>
          </w:p>
        </w:tc>
        <w:tc>
          <w:tcPr>
            <w:tcW w:w="828"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(6 479.6)</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(2 005.6)</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(2 516.6)</w:t>
            </w:r>
          </w:p>
        </w:tc>
        <w:tc>
          <w:tcPr>
            <w:tcW w:w="828"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(2 037.4)</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color w:val="000000"/>
                <w:lang w:eastAsia="en-AU"/>
              </w:rPr>
            </w:pPr>
            <w:r w:rsidRPr="00E1323B">
              <w:rPr>
                <w:rFonts w:eastAsiaTheme="minorEastAsia"/>
                <w:b/>
                <w:bCs/>
                <w:color w:val="000000"/>
                <w:sz w:val="19"/>
                <w:lang w:eastAsia="en-AU"/>
              </w:rPr>
              <w:t>(1 031.7)</w:t>
            </w:r>
          </w:p>
        </w:tc>
        <w:tc>
          <w:tcPr>
            <w:tcW w:w="82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color w:val="000000"/>
                <w:sz w:val="19"/>
                <w:lang w:eastAsia="en-AU"/>
              </w:rPr>
            </w:pPr>
            <w:r w:rsidRPr="00E1323B">
              <w:rPr>
                <w:rFonts w:eastAsiaTheme="minorEastAsia"/>
                <w:b/>
                <w:bCs/>
                <w:color w:val="000000"/>
                <w:sz w:val="19"/>
                <w:lang w:eastAsia="en-AU"/>
              </w:rPr>
              <w:t>( 355.1)</w:t>
            </w:r>
          </w:p>
        </w:tc>
      </w:tr>
    </w:tbl>
    <w:p w:rsidR="00F60B5F" w:rsidRDefault="00F60B5F" w:rsidP="00596C71">
      <w:pPr>
        <w:pStyle w:val="Source"/>
      </w:pPr>
      <w:r w:rsidRPr="00F27D04">
        <w:t>Source: Department of Treasury and Finance</w:t>
      </w:r>
    </w:p>
    <w:p w:rsidR="00F60B5F" w:rsidRDefault="00F60B5F" w:rsidP="00ED2D26">
      <w:pPr>
        <w:pStyle w:val="Notes"/>
      </w:pPr>
      <w:r>
        <w:t>Note:</w:t>
      </w:r>
    </w:p>
    <w:p w:rsidR="00F60B5F" w:rsidRDefault="00F60B5F" w:rsidP="00C03E88">
      <w:pPr>
        <w:pStyle w:val="Notes"/>
      </w:pPr>
      <w:r w:rsidRPr="00C03E88">
        <w:t xml:space="preserve">(a) </w:t>
      </w:r>
      <w:r>
        <w:tab/>
      </w:r>
      <w:r w:rsidRPr="00C03E88">
        <w:t>The 2012</w:t>
      </w:r>
      <w:r>
        <w:noBreakHyphen/>
      </w:r>
      <w:r w:rsidRPr="00C03E88">
        <w:t>13 actual ha</w:t>
      </w:r>
      <w:r>
        <w:t>s</w:t>
      </w:r>
      <w:r w:rsidRPr="00C03E88">
        <w:t xml:space="preserve"> been restated to reflect a revised accounting standard, </w:t>
      </w:r>
      <w:r w:rsidRPr="00855E5B">
        <w:rPr>
          <w:i w:val="0"/>
        </w:rPr>
        <w:t>AASB 119</w:t>
      </w:r>
      <w:r w:rsidRPr="00C03E88">
        <w:t xml:space="preserve"> </w:t>
      </w:r>
      <w:r w:rsidRPr="008068DC">
        <w:rPr>
          <w:i w:val="0"/>
        </w:rPr>
        <w:t>Employee Benefits</w:t>
      </w:r>
      <w:r w:rsidRPr="00C03E88">
        <w:t>, which has been issued changing the way defined benefit superannuation expenses are calculated from 2013</w:t>
      </w:r>
      <w:r>
        <w:noBreakHyphen/>
      </w:r>
      <w:r w:rsidRPr="00C03E88">
        <w:t>14.</w:t>
      </w:r>
    </w:p>
    <w:p w:rsidR="00F60B5F" w:rsidRDefault="00F60B5F">
      <w:pPr>
        <w:spacing w:after="0"/>
        <w:rPr>
          <w:rFonts w:ascii="Calibri" w:hAnsi="Calibri"/>
          <w:b/>
        </w:rPr>
      </w:pPr>
      <w:r>
        <w:br w:type="page"/>
      </w:r>
    </w:p>
    <w:p w:rsidR="00F60B5F" w:rsidRPr="00F27D04" w:rsidRDefault="00F60B5F" w:rsidP="00250CAA">
      <w:pPr>
        <w:pStyle w:val="Tableheading"/>
      </w:pPr>
      <w:r w:rsidRPr="00F27D04">
        <w:t>Table 6.2:</w:t>
      </w:r>
      <w:r w:rsidRPr="00F27D04">
        <w:tab/>
        <w:t>Public non</w:t>
      </w:r>
      <w:r>
        <w:noBreakHyphen/>
      </w:r>
      <w:r w:rsidRPr="00F27D04">
        <w:t>financial corporations sector balance sheet</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357"/>
        <w:gridCol w:w="900"/>
        <w:gridCol w:w="901"/>
        <w:gridCol w:w="900"/>
        <w:gridCol w:w="901"/>
        <w:gridCol w:w="900"/>
        <w:gridCol w:w="901"/>
      </w:tblGrid>
      <w:tr w:rsidR="00F60B5F" w:rsidRPr="00E1323B" w:rsidTr="00E1323B">
        <w:tc>
          <w:tcPr>
            <w:tcW w:w="2357" w:type="dxa"/>
            <w:tcBorders>
              <w:top w:val="single" w:sz="6" w:space="0" w:color="000000"/>
              <w:left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900"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901"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900"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901"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900"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901" w:type="dxa"/>
            <w:tcBorders>
              <w:top w:val="single" w:sz="6" w:space="0" w:color="000000"/>
              <w:left w:val="nil"/>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E1323B">
        <w:tc>
          <w:tcPr>
            <w:tcW w:w="2357" w:type="dxa"/>
            <w:tcBorders>
              <w:top w:val="nil"/>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900" w:type="dxa"/>
            <w:tcBorders>
              <w:top w:val="nil"/>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Actual</w:t>
            </w:r>
          </w:p>
        </w:tc>
        <w:tc>
          <w:tcPr>
            <w:tcW w:w="901" w:type="dxa"/>
            <w:tcBorders>
              <w:top w:val="nil"/>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Budget</w:t>
            </w:r>
          </w:p>
        </w:tc>
        <w:tc>
          <w:tcPr>
            <w:tcW w:w="900" w:type="dxa"/>
            <w:tcBorders>
              <w:top w:val="nil"/>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Revised</w:t>
            </w:r>
          </w:p>
        </w:tc>
        <w:tc>
          <w:tcPr>
            <w:tcW w:w="901" w:type="dxa"/>
            <w:tcBorders>
              <w:top w:val="nil"/>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900" w:type="dxa"/>
            <w:tcBorders>
              <w:top w:val="nil"/>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901" w:type="dxa"/>
            <w:tcBorders>
              <w:top w:val="nil"/>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E1323B">
        <w:tc>
          <w:tcPr>
            <w:tcW w:w="2357"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Assets</w:t>
            </w:r>
          </w:p>
        </w:tc>
        <w:tc>
          <w:tcPr>
            <w:tcW w:w="90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1"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1"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1"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Financial assets</w:t>
            </w:r>
          </w:p>
        </w:tc>
        <w:tc>
          <w:tcPr>
            <w:tcW w:w="90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Cash and deposits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797.9</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851.1</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649.4</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741.6</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742.3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878.3</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Advances paid</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50.4</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48.5</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55.2</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53.6</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52.3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51.5</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Receivables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1 312.3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1 340.6</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1 182.6</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1 083.4</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973.1</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935.6</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Investments, loans and placements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1 056.2</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1 000.8</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859.0</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821.9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836.4</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828.6</w:t>
            </w:r>
          </w:p>
        </w:tc>
      </w:tr>
      <w:tr w:rsidR="00F60B5F" w:rsidRPr="00E1323B" w:rsidTr="00E1323B">
        <w:tc>
          <w:tcPr>
            <w:tcW w:w="2357"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Investments accounted for using equity method</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1 319.2</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1 319.2</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1 319.2</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1 319.2</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1 319.2</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1 319.2</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financial assets</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4 536.0</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4 560.3</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4 065.4</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4 019.7</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3 923.4</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4 013.1</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Non</w:t>
            </w:r>
            <w:r>
              <w:rPr>
                <w:rFonts w:eastAsiaTheme="minorEastAsia"/>
                <w:b/>
                <w:bCs/>
                <w:sz w:val="19"/>
                <w:lang w:eastAsia="en-AU"/>
              </w:rPr>
              <w:noBreakHyphen/>
            </w:r>
            <w:r w:rsidRPr="00E1323B">
              <w:rPr>
                <w:rFonts w:eastAsiaTheme="minorEastAsia"/>
                <w:b/>
                <w:bCs/>
                <w:sz w:val="19"/>
                <w:lang w:eastAsia="en-AU"/>
              </w:rPr>
              <w:t>financial assets</w:t>
            </w:r>
          </w:p>
        </w:tc>
        <w:tc>
          <w:tcPr>
            <w:tcW w:w="900"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01"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Inventories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678.9</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666.7</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638.8</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503.1</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408.9</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329.3</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Non</w:t>
            </w:r>
            <w:r>
              <w:rPr>
                <w:rFonts w:eastAsiaTheme="minorEastAsia"/>
                <w:sz w:val="19"/>
                <w:lang w:eastAsia="en-AU"/>
              </w:rPr>
              <w:noBreakHyphen/>
            </w:r>
            <w:r w:rsidRPr="00E1323B">
              <w:rPr>
                <w:rFonts w:eastAsiaTheme="minorEastAsia"/>
                <w:sz w:val="19"/>
                <w:lang w:eastAsia="en-AU"/>
              </w:rPr>
              <w:t>financial assets held for sale</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4.5</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4.2</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Land, buildings, infrastructure, plant and equipment</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88 605.2</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93 050.6</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93 244.3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99 614.6</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102 540.9</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102 540.6</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non</w:t>
            </w:r>
            <w:r>
              <w:rPr>
                <w:rFonts w:eastAsiaTheme="minorEastAsia"/>
                <w:sz w:val="19"/>
                <w:lang w:eastAsia="en-AU"/>
              </w:rPr>
              <w:noBreakHyphen/>
            </w:r>
            <w:r w:rsidRPr="00E1323B">
              <w:rPr>
                <w:rFonts w:eastAsiaTheme="minorEastAsia"/>
                <w:sz w:val="19"/>
                <w:lang w:eastAsia="en-AU"/>
              </w:rPr>
              <w:t>financial assets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1 065.3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1 099.9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1 088.3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1 103.9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1 105.0</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1 106.2</w:t>
            </w:r>
          </w:p>
        </w:tc>
      </w:tr>
      <w:tr w:rsidR="00F60B5F" w:rsidRPr="00E1323B" w:rsidTr="00E1323B">
        <w:tc>
          <w:tcPr>
            <w:tcW w:w="2357"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non</w:t>
            </w:r>
            <w:r>
              <w:rPr>
                <w:rFonts w:eastAsiaTheme="minorEastAsia"/>
                <w:b/>
                <w:bCs/>
                <w:sz w:val="19"/>
                <w:lang w:eastAsia="en-AU"/>
              </w:rPr>
              <w:noBreakHyphen/>
            </w:r>
            <w:r w:rsidRPr="00E1323B">
              <w:rPr>
                <w:rFonts w:eastAsiaTheme="minorEastAsia"/>
                <w:b/>
                <w:bCs/>
                <w:sz w:val="19"/>
                <w:lang w:eastAsia="en-AU"/>
              </w:rPr>
              <w:t>financial assets</w:t>
            </w:r>
          </w:p>
        </w:tc>
        <w:tc>
          <w:tcPr>
            <w:tcW w:w="900"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90 353.9</w:t>
            </w:r>
          </w:p>
        </w:tc>
        <w:tc>
          <w:tcPr>
            <w:tcW w:w="90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94 821.4</w:t>
            </w:r>
          </w:p>
        </w:tc>
        <w:tc>
          <w:tcPr>
            <w:tcW w:w="900"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94 971.4</w:t>
            </w:r>
          </w:p>
        </w:tc>
        <w:tc>
          <w:tcPr>
            <w:tcW w:w="90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101 221.6</w:t>
            </w:r>
          </w:p>
        </w:tc>
        <w:tc>
          <w:tcPr>
            <w:tcW w:w="900"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104 054.8</w:t>
            </w:r>
          </w:p>
        </w:tc>
        <w:tc>
          <w:tcPr>
            <w:tcW w:w="90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103 976.0</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assets</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94 889.9</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99 381.6</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99 036.9</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105 241.3</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107 978.1</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107 989.2</w:t>
            </w:r>
          </w:p>
        </w:tc>
      </w:tr>
      <w:tr w:rsidR="00F60B5F" w:rsidRPr="00E1323B" w:rsidTr="00E1323B">
        <w:trPr>
          <w:trHeight w:hRule="exact" w:val="120"/>
        </w:trPr>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Liabilities</w:t>
            </w:r>
          </w:p>
        </w:tc>
        <w:tc>
          <w:tcPr>
            <w:tcW w:w="900"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01"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Deposits held and advances received</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420.0</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432.0</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418.7</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433.7</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447.2</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461.6</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Payables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1 568.6</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1 694.9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1 452.7</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1 514.9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1 503.5</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1 561.7</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Borrowings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16 249.7</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17 150.4</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17 090.4</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17 835.5</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18 541.5</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18 986.1</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Employee benefits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326.4</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343.8</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339.5</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345.9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355.3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357.9</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Superannuation</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83.0</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80.3</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83.3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83.9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84.0</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84.0</w:t>
            </w:r>
          </w:p>
        </w:tc>
      </w:tr>
      <w:tr w:rsidR="00F60B5F" w:rsidRPr="00E1323B" w:rsidTr="00E1323B">
        <w:tc>
          <w:tcPr>
            <w:tcW w:w="2357"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provisions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8 702.0</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8 383.9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8 134.1</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8 643.1</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8 799.4</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8 482.5</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liabilities</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27 349.7</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28 085.4</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27 518.8</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28 857.1</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29 730.9</w:t>
            </w:r>
          </w:p>
        </w:tc>
        <w:tc>
          <w:tcPr>
            <w:tcW w:w="90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29 933.8</w:t>
            </w:r>
          </w:p>
        </w:tc>
      </w:tr>
      <w:tr w:rsidR="00F60B5F" w:rsidRPr="00E1323B" w:rsidTr="00E1323B">
        <w:tc>
          <w:tcPr>
            <w:tcW w:w="23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assets</w:t>
            </w:r>
          </w:p>
        </w:tc>
        <w:tc>
          <w:tcPr>
            <w:tcW w:w="90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67 540.2</w:t>
            </w:r>
          </w:p>
        </w:tc>
        <w:tc>
          <w:tcPr>
            <w:tcW w:w="90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71 296.3</w:t>
            </w:r>
          </w:p>
        </w:tc>
        <w:tc>
          <w:tcPr>
            <w:tcW w:w="90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71 518.1</w:t>
            </w:r>
          </w:p>
        </w:tc>
        <w:tc>
          <w:tcPr>
            <w:tcW w:w="90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76 384.2</w:t>
            </w:r>
          </w:p>
        </w:tc>
        <w:tc>
          <w:tcPr>
            <w:tcW w:w="90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78 247.2</w:t>
            </w:r>
          </w:p>
        </w:tc>
        <w:tc>
          <w:tcPr>
            <w:tcW w:w="90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78 055.4</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Accumulated surplus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4 863.3</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4 479.0</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4 584.5</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4 305.4</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3 885.1</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3 448.4</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Reserves</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62 676.9</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66 817.2</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66 933.6</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72 078.8</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74 362.1</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74 607.0</w:t>
            </w:r>
          </w:p>
        </w:tc>
      </w:tr>
      <w:tr w:rsidR="00F60B5F" w:rsidRPr="00E1323B" w:rsidTr="00E1323B">
        <w:tc>
          <w:tcPr>
            <w:tcW w:w="23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worth</w:t>
            </w:r>
          </w:p>
        </w:tc>
        <w:tc>
          <w:tcPr>
            <w:tcW w:w="90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67 540.2</w:t>
            </w:r>
          </w:p>
        </w:tc>
        <w:tc>
          <w:tcPr>
            <w:tcW w:w="90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71 296.3</w:t>
            </w:r>
          </w:p>
        </w:tc>
        <w:tc>
          <w:tcPr>
            <w:tcW w:w="90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71 518.1</w:t>
            </w:r>
          </w:p>
        </w:tc>
        <w:tc>
          <w:tcPr>
            <w:tcW w:w="90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76 384.2</w:t>
            </w:r>
          </w:p>
        </w:tc>
        <w:tc>
          <w:tcPr>
            <w:tcW w:w="90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78 247.2</w:t>
            </w:r>
          </w:p>
        </w:tc>
        <w:tc>
          <w:tcPr>
            <w:tcW w:w="90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78 055.4</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FISCAL AGGREGATES</w:t>
            </w:r>
          </w:p>
        </w:tc>
        <w:tc>
          <w:tcPr>
            <w:tcW w:w="90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p>
        </w:tc>
        <w:tc>
          <w:tcPr>
            <w:tcW w:w="90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3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Net financial worth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(22 813.7)</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(23 525.1)</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(23 453.4)</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(24 837.4)</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(25 807.6)</w:t>
            </w:r>
          </w:p>
        </w:tc>
        <w:tc>
          <w:tcPr>
            <w:tcW w:w="90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(25 920.7)</w:t>
            </w:r>
          </w:p>
        </w:tc>
      </w:tr>
      <w:tr w:rsidR="00F60B5F" w:rsidRPr="00E1323B" w:rsidTr="00E1323B">
        <w:tc>
          <w:tcPr>
            <w:tcW w:w="2357" w:type="dxa"/>
            <w:tcBorders>
              <w:top w:val="nil"/>
              <w:left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financial liabilities</w:t>
            </w:r>
          </w:p>
        </w:tc>
        <w:tc>
          <w:tcPr>
            <w:tcW w:w="900"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22 813.7</w:t>
            </w:r>
          </w:p>
        </w:tc>
        <w:tc>
          <w:tcPr>
            <w:tcW w:w="901"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23 525.1</w:t>
            </w:r>
          </w:p>
        </w:tc>
        <w:tc>
          <w:tcPr>
            <w:tcW w:w="900"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23 453.4</w:t>
            </w:r>
          </w:p>
        </w:tc>
        <w:tc>
          <w:tcPr>
            <w:tcW w:w="901"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24 837.4</w:t>
            </w:r>
          </w:p>
        </w:tc>
        <w:tc>
          <w:tcPr>
            <w:tcW w:w="900"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25 807.6</w:t>
            </w:r>
          </w:p>
        </w:tc>
        <w:tc>
          <w:tcPr>
            <w:tcW w:w="901"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25 920.7</w:t>
            </w:r>
          </w:p>
        </w:tc>
      </w:tr>
      <w:tr w:rsidR="00F60B5F" w:rsidRPr="00E1323B" w:rsidTr="00E1323B">
        <w:tc>
          <w:tcPr>
            <w:tcW w:w="2357" w:type="dxa"/>
            <w:tcBorders>
              <w:top w:val="nil"/>
              <w:left w:val="nil"/>
              <w:bottom w:val="single" w:sz="12" w:space="0" w:color="000000"/>
              <w:right w:val="nil"/>
            </w:tcBorders>
            <w:shd w:val="clear" w:color="auto"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debt</w:t>
            </w:r>
          </w:p>
        </w:tc>
        <w:tc>
          <w:tcPr>
            <w:tcW w:w="900"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14 765.3</w:t>
            </w:r>
          </w:p>
        </w:tc>
        <w:tc>
          <w:tcPr>
            <w:tcW w:w="901"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15 682.0</w:t>
            </w:r>
          </w:p>
        </w:tc>
        <w:tc>
          <w:tcPr>
            <w:tcW w:w="900"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15 945.5</w:t>
            </w:r>
          </w:p>
        </w:tc>
        <w:tc>
          <w:tcPr>
            <w:tcW w:w="901"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16 652.2</w:t>
            </w:r>
          </w:p>
        </w:tc>
        <w:tc>
          <w:tcPr>
            <w:tcW w:w="900"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17 357.7</w:t>
            </w:r>
          </w:p>
        </w:tc>
        <w:tc>
          <w:tcPr>
            <w:tcW w:w="901"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17 689.4</w:t>
            </w:r>
          </w:p>
        </w:tc>
      </w:tr>
    </w:tbl>
    <w:p w:rsidR="00F60B5F" w:rsidRPr="00F27D04" w:rsidRDefault="00F60B5F" w:rsidP="00527E61">
      <w:pPr>
        <w:pStyle w:val="Source"/>
      </w:pPr>
      <w:r w:rsidRPr="00F27D04">
        <w:t>Source: Department of Treasury and Finance</w:t>
      </w:r>
    </w:p>
    <w:p w:rsidR="00F60B5F" w:rsidRPr="00F27D04" w:rsidRDefault="00F60B5F" w:rsidP="00FE186A"/>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6.3:</w:t>
      </w:r>
      <w:r w:rsidRPr="00F27D04">
        <w:tab/>
        <w:t>Public non</w:t>
      </w:r>
      <w:r>
        <w:noBreakHyphen/>
      </w:r>
      <w:r w:rsidRPr="00F27D04">
        <w:t>financial corporations sector cash flow statement</w:t>
      </w:r>
    </w:p>
    <w:p w:rsidR="00F60B5F" w:rsidRPr="00E1323B" w:rsidRDefault="00F60B5F" w:rsidP="00E1323B">
      <w:pPr>
        <w:pStyle w:val="million"/>
      </w:pPr>
      <w:r w:rsidRPr="00F27D04">
        <w:t>($</w:t>
      </w:r>
      <w:r>
        <w:t> million</w:t>
      </w:r>
      <w:r w:rsidRPr="00F27D04">
        <w:t>)</w:t>
      </w:r>
    </w:p>
    <w:tbl>
      <w:tblPr>
        <w:tblW w:w="7758" w:type="dxa"/>
        <w:tblInd w:w="28" w:type="dxa"/>
        <w:tblLayout w:type="fixed"/>
        <w:tblCellMar>
          <w:left w:w="43" w:type="dxa"/>
          <w:right w:w="43" w:type="dxa"/>
        </w:tblCellMar>
        <w:tblLook w:val="0000" w:firstRow="0" w:lastRow="0" w:firstColumn="0" w:lastColumn="0" w:noHBand="0" w:noVBand="0"/>
      </w:tblPr>
      <w:tblGrid>
        <w:gridCol w:w="2445"/>
        <w:gridCol w:w="90"/>
        <w:gridCol w:w="32"/>
        <w:gridCol w:w="425"/>
        <w:gridCol w:w="443"/>
        <w:gridCol w:w="810"/>
        <w:gridCol w:w="900"/>
        <w:gridCol w:w="871"/>
        <w:gridCol w:w="871"/>
        <w:gridCol w:w="871"/>
      </w:tblGrid>
      <w:tr w:rsidR="00F60B5F" w:rsidRPr="00E1323B" w:rsidTr="005C751E">
        <w:trPr>
          <w:tblHeader/>
        </w:trPr>
        <w:tc>
          <w:tcPr>
            <w:tcW w:w="2445" w:type="dxa"/>
            <w:tcBorders>
              <w:top w:val="single" w:sz="6" w:space="0" w:color="000000"/>
              <w:left w:val="single" w:sz="6" w:space="0" w:color="000000"/>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990" w:type="dxa"/>
            <w:gridSpan w:val="4"/>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10"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900"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71"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71"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71" w:type="dxa"/>
            <w:tcBorders>
              <w:top w:val="single" w:sz="6" w:space="0" w:color="000000"/>
              <w:left w:val="nil"/>
              <w:bottom w:val="nil"/>
              <w:right w:val="single" w:sz="6" w:space="0" w:color="000000"/>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5C751E">
        <w:trPr>
          <w:tblHeader/>
        </w:trPr>
        <w:tc>
          <w:tcPr>
            <w:tcW w:w="2445" w:type="dxa"/>
            <w:tcBorders>
              <w:top w:val="nil"/>
              <w:left w:val="single" w:sz="6" w:space="0" w:color="000000"/>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990" w:type="dxa"/>
            <w:gridSpan w:val="4"/>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Actual</w:t>
            </w:r>
          </w:p>
        </w:tc>
        <w:tc>
          <w:tcPr>
            <w:tcW w:w="810"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Budget</w:t>
            </w:r>
          </w:p>
        </w:tc>
        <w:tc>
          <w:tcPr>
            <w:tcW w:w="900"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Revised</w:t>
            </w:r>
          </w:p>
        </w:tc>
        <w:tc>
          <w:tcPr>
            <w:tcW w:w="871"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71"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71" w:type="dxa"/>
            <w:tcBorders>
              <w:top w:val="nil"/>
              <w:left w:val="nil"/>
              <w:bottom w:val="single" w:sz="6" w:space="0" w:color="000000"/>
              <w:right w:val="single" w:sz="6" w:space="0" w:color="000000"/>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E1323B">
        <w:tc>
          <w:tcPr>
            <w:tcW w:w="2992" w:type="dxa"/>
            <w:gridSpan w:val="4"/>
            <w:tcBorders>
              <w:top w:val="single" w:sz="6" w:space="0" w:color="000000"/>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operating activities</w:t>
            </w:r>
          </w:p>
        </w:tc>
        <w:tc>
          <w:tcPr>
            <w:tcW w:w="443"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p>
        </w:tc>
        <w:tc>
          <w:tcPr>
            <w:tcW w:w="81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00"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Receipts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Grants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2 727.2</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2 881.6</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2 958.3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2 988.2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2 932.3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2 918.0</w:t>
            </w:r>
          </w:p>
        </w:tc>
      </w:tr>
      <w:tr w:rsidR="00F60B5F" w:rsidRPr="00E1323B" w:rsidTr="00E1323B">
        <w:tc>
          <w:tcPr>
            <w:tcW w:w="2535" w:type="dxa"/>
            <w:gridSpan w:val="2"/>
            <w:tcBorders>
              <w:top w:val="nil"/>
              <w:left w:val="nil"/>
              <w:bottom w:val="nil"/>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 xml:space="preserve">Sales of goods and services </w:t>
            </w:r>
            <w:r w:rsidRPr="00E1323B">
              <w:rPr>
                <w:rFonts w:eastAsiaTheme="minorEastAsia"/>
                <w:sz w:val="19"/>
                <w:vertAlign w:val="superscript"/>
                <w:lang w:eastAsia="en-AU"/>
              </w:rPr>
              <w:t>(a)</w:t>
            </w:r>
          </w:p>
        </w:tc>
        <w:tc>
          <w:tcPr>
            <w:tcW w:w="90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5 490.5</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6 456.7</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6 508.7</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6 676.8</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6 796.2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6 848.4</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64.2</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20.0</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33.8</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29.8</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29.9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30.9</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144.1</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82.9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88.6</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91.5</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91.7</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94.9</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receipts</w:t>
            </w:r>
          </w:p>
        </w:tc>
        <w:tc>
          <w:tcPr>
            <w:tcW w:w="990" w:type="dxa"/>
            <w:gridSpan w:val="4"/>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198.9</w:t>
            </w:r>
          </w:p>
        </w:tc>
        <w:tc>
          <w:tcPr>
            <w:tcW w:w="81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273.9</w:t>
            </w:r>
          </w:p>
        </w:tc>
        <w:tc>
          <w:tcPr>
            <w:tcW w:w="90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252.7</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257.9</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326.6</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285.9</w:t>
            </w:r>
          </w:p>
        </w:tc>
      </w:tr>
      <w:tr w:rsidR="00F60B5F" w:rsidRPr="00E1323B" w:rsidTr="00E1323B">
        <w:tc>
          <w:tcPr>
            <w:tcW w:w="2445"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receipts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8 624.8</w:t>
            </w:r>
          </w:p>
        </w:tc>
        <w:tc>
          <w:tcPr>
            <w:tcW w:w="81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9 715.2</w:t>
            </w:r>
          </w:p>
        </w:tc>
        <w:tc>
          <w:tcPr>
            <w:tcW w:w="90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9 842.2</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10 044.2</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10 176.8</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10 178.1</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Payments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Payments for employees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(1 035.0)</w:t>
            </w:r>
          </w:p>
        </w:tc>
        <w:tc>
          <w:tcPr>
            <w:tcW w:w="81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(1 031.5)</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(1 033.9)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(1 071.8)</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(1 098.2)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(1 129.0)</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Superannuation</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( 118.7)</w:t>
            </w:r>
          </w:p>
        </w:tc>
        <w:tc>
          <w:tcPr>
            <w:tcW w:w="81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( 88.7)</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( 91.0)</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( 92.9)</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( 96.3)</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( 99.1)</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( 961.6)</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(1 234.1)</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(1 185.1</w:t>
            </w:r>
            <w:r w:rsidRPr="00E1323B">
              <w:rPr>
                <w:rFonts w:eastAsiaTheme="minorEastAsia" w:cs="Calibri"/>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(1 228.4</w:t>
            </w:r>
            <w:r w:rsidRPr="00E1323B">
              <w:rPr>
                <w:rFonts w:eastAsiaTheme="minorEastAsia" w:cs="Calibri"/>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(1 258.4</w:t>
            </w:r>
            <w:r w:rsidRPr="00E1323B">
              <w:rPr>
                <w:rFonts w:eastAsiaTheme="minorEastAsia" w:cs="Calibri"/>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(1 278.7</w:t>
            </w:r>
            <w:r w:rsidRPr="00E1323B">
              <w:rPr>
                <w:rFonts w:eastAsiaTheme="minorEastAsia" w:cs="Calibri"/>
                <w:lang w:eastAsia="en-AU"/>
              </w:rPr>
              <w:t>)</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Grants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( 189.9)</w:t>
            </w:r>
          </w:p>
        </w:tc>
        <w:tc>
          <w:tcPr>
            <w:tcW w:w="81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( 165.6)</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( 167.6)</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( 137.3)</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( 137.0)</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( 83.5)</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 xml:space="preserve">Goods and services </w:t>
            </w:r>
            <w:r w:rsidRPr="00E1323B">
              <w:rPr>
                <w:rFonts w:eastAsiaTheme="minorEastAsia"/>
                <w:sz w:val="19"/>
                <w:vertAlign w:val="superscript"/>
                <w:lang w:eastAsia="en-AU"/>
              </w:rPr>
              <w:t>(a)</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(3 375.8)</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(3 858.2)</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(4 229.4)</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(4 075.2)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(3 941.0)</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(3 949.0)</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Other payments </w:t>
            </w:r>
          </w:p>
        </w:tc>
        <w:tc>
          <w:tcPr>
            <w:tcW w:w="990" w:type="dxa"/>
            <w:gridSpan w:val="4"/>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(1 467.3)</w:t>
            </w:r>
          </w:p>
        </w:tc>
        <w:tc>
          <w:tcPr>
            <w:tcW w:w="81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(1 937.5)</w:t>
            </w:r>
          </w:p>
        </w:tc>
        <w:tc>
          <w:tcPr>
            <w:tcW w:w="900"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(1 934.3)</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(2 044.0)</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(2 072.9)</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(2 029.8)</w:t>
            </w:r>
          </w:p>
        </w:tc>
      </w:tr>
      <w:tr w:rsidR="00F60B5F" w:rsidRPr="00E1323B" w:rsidTr="00E1323B">
        <w:tc>
          <w:tcPr>
            <w:tcW w:w="2445"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payments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(7 148.3)</w:t>
            </w:r>
          </w:p>
        </w:tc>
        <w:tc>
          <w:tcPr>
            <w:tcW w:w="81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(8 315.6)</w:t>
            </w:r>
          </w:p>
        </w:tc>
        <w:tc>
          <w:tcPr>
            <w:tcW w:w="90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(8 641.3)</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(8 649.5)</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(8 603.8)</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(8 569.0)</w:t>
            </w:r>
          </w:p>
        </w:tc>
      </w:tr>
      <w:tr w:rsidR="00F60B5F" w:rsidRPr="00E1323B" w:rsidTr="00E1323B">
        <w:tc>
          <w:tcPr>
            <w:tcW w:w="2445"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operating activities</w:t>
            </w:r>
          </w:p>
        </w:tc>
        <w:tc>
          <w:tcPr>
            <w:tcW w:w="990" w:type="dxa"/>
            <w:gridSpan w:val="4"/>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1 476.5</w:t>
            </w:r>
          </w:p>
        </w:tc>
        <w:tc>
          <w:tcPr>
            <w:tcW w:w="81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1 399.5</w:t>
            </w:r>
          </w:p>
        </w:tc>
        <w:tc>
          <w:tcPr>
            <w:tcW w:w="900"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1 200.9</w:t>
            </w:r>
          </w:p>
        </w:tc>
        <w:tc>
          <w:tcPr>
            <w:tcW w:w="87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1 394.7</w:t>
            </w:r>
          </w:p>
        </w:tc>
        <w:tc>
          <w:tcPr>
            <w:tcW w:w="87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1 572.9</w:t>
            </w:r>
          </w:p>
        </w:tc>
        <w:tc>
          <w:tcPr>
            <w:tcW w:w="871"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1 609.1</w:t>
            </w:r>
          </w:p>
        </w:tc>
      </w:tr>
      <w:tr w:rsidR="00F60B5F" w:rsidRPr="00E1323B" w:rsidTr="00E1323B">
        <w:tc>
          <w:tcPr>
            <w:tcW w:w="2992" w:type="dxa"/>
            <w:gridSpan w:val="4"/>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investing activities</w:t>
            </w:r>
          </w:p>
        </w:tc>
        <w:tc>
          <w:tcPr>
            <w:tcW w:w="44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Non</w:t>
            </w:r>
            <w:r>
              <w:rPr>
                <w:rFonts w:eastAsiaTheme="minorEastAsia"/>
                <w:sz w:val="19"/>
                <w:lang w:eastAsia="en-AU"/>
              </w:rPr>
              <w:noBreakHyphen/>
            </w:r>
            <w:r w:rsidRPr="00E1323B">
              <w:rPr>
                <w:rFonts w:eastAsiaTheme="minorEastAsia"/>
                <w:sz w:val="19"/>
                <w:lang w:eastAsia="en-AU"/>
              </w:rPr>
              <w:t>financial assets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Purchases of non</w:t>
            </w:r>
            <w:r>
              <w:rPr>
                <w:rFonts w:eastAsiaTheme="minorEastAsia"/>
                <w:sz w:val="19"/>
                <w:lang w:eastAsia="en-AU"/>
              </w:rPr>
              <w:noBreakHyphen/>
            </w:r>
            <w:r w:rsidRPr="00E1323B">
              <w:rPr>
                <w:rFonts w:eastAsiaTheme="minorEastAsia"/>
                <w:sz w:val="19"/>
                <w:lang w:eastAsia="en-AU"/>
              </w:rPr>
              <w:t>financial assets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(3 702.5)</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(3 736.3)</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(3 958.3</w:t>
            </w:r>
            <w:r w:rsidRPr="00E1323B">
              <w:rPr>
                <w:rFonts w:eastAsiaTheme="minorEastAsia" w:cs="Calibri"/>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(3 649.2)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(2 719.8)</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(2 074.1)</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Sales of non</w:t>
            </w:r>
            <w:r>
              <w:rPr>
                <w:rFonts w:eastAsiaTheme="minorEastAsia"/>
                <w:sz w:val="19"/>
                <w:lang w:eastAsia="en-AU"/>
              </w:rPr>
              <w:noBreakHyphen/>
            </w:r>
            <w:r w:rsidRPr="00E1323B">
              <w:rPr>
                <w:rFonts w:eastAsiaTheme="minorEastAsia"/>
                <w:sz w:val="19"/>
                <w:lang w:eastAsia="en-AU"/>
              </w:rPr>
              <w:t>financial assets</w:t>
            </w:r>
          </w:p>
        </w:tc>
        <w:tc>
          <w:tcPr>
            <w:tcW w:w="990" w:type="dxa"/>
            <w:gridSpan w:val="4"/>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156.4</w:t>
            </w:r>
          </w:p>
        </w:tc>
        <w:tc>
          <w:tcPr>
            <w:tcW w:w="81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105.7</w:t>
            </w:r>
          </w:p>
        </w:tc>
        <w:tc>
          <w:tcPr>
            <w:tcW w:w="90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100.1</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115.7</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86.9</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73.1</w:t>
            </w:r>
          </w:p>
        </w:tc>
      </w:tr>
      <w:tr w:rsidR="00F60B5F" w:rsidRPr="005E192D" w:rsidTr="00E1323B">
        <w:tc>
          <w:tcPr>
            <w:tcW w:w="2445" w:type="dxa"/>
            <w:tcBorders>
              <w:top w:val="single" w:sz="6" w:space="0" w:color="auto"/>
              <w:left w:val="nil"/>
              <w:bottom w:val="nil"/>
              <w:right w:val="nil"/>
            </w:tcBorders>
          </w:tcPr>
          <w:p w:rsidR="00F60B5F" w:rsidRPr="005E192D" w:rsidRDefault="00F60B5F" w:rsidP="00E1323B">
            <w:pPr>
              <w:pStyle w:val="Tabletext"/>
              <w:rPr>
                <w:rFonts w:eastAsiaTheme="minorEastAsia"/>
                <w:sz w:val="19"/>
                <w:lang w:eastAsia="en-AU"/>
              </w:rPr>
            </w:pPr>
            <w:r w:rsidRPr="005E192D">
              <w:rPr>
                <w:rFonts w:eastAsiaTheme="minorEastAsia"/>
                <w:sz w:val="19"/>
                <w:lang w:eastAsia="en-AU"/>
              </w:rPr>
              <w:t>Cash flows from investments in non</w:t>
            </w:r>
            <w:r>
              <w:rPr>
                <w:rFonts w:eastAsiaTheme="minorEastAsia"/>
                <w:sz w:val="19"/>
                <w:lang w:eastAsia="en-AU"/>
              </w:rPr>
              <w:noBreakHyphen/>
            </w:r>
            <w:r w:rsidRPr="005E192D">
              <w:rPr>
                <w:rFonts w:eastAsiaTheme="minorEastAsia"/>
                <w:sz w:val="19"/>
                <w:lang w:eastAsia="en-AU"/>
              </w:rPr>
              <w:t>financial assets</w:t>
            </w:r>
          </w:p>
        </w:tc>
        <w:tc>
          <w:tcPr>
            <w:tcW w:w="990" w:type="dxa"/>
            <w:gridSpan w:val="4"/>
            <w:tcBorders>
              <w:top w:val="nil"/>
              <w:left w:val="nil"/>
              <w:bottom w:val="nil"/>
              <w:right w:val="nil"/>
            </w:tcBorders>
          </w:tcPr>
          <w:p w:rsidR="00F60B5F" w:rsidRPr="005E192D" w:rsidRDefault="00F60B5F" w:rsidP="00E1323B">
            <w:pPr>
              <w:pStyle w:val="TableofFigures"/>
              <w:rPr>
                <w:rFonts w:eastAsiaTheme="minorEastAsia"/>
                <w:sz w:val="19"/>
                <w:szCs w:val="22"/>
                <w:lang w:eastAsia="en-AU"/>
              </w:rPr>
            </w:pPr>
            <w:r w:rsidRPr="005E192D">
              <w:rPr>
                <w:rFonts w:eastAsiaTheme="minorEastAsia"/>
                <w:sz w:val="19"/>
                <w:szCs w:val="22"/>
                <w:lang w:eastAsia="en-AU"/>
              </w:rPr>
              <w:t>(3 546.1)</w:t>
            </w:r>
          </w:p>
        </w:tc>
        <w:tc>
          <w:tcPr>
            <w:tcW w:w="810" w:type="dxa"/>
            <w:tcBorders>
              <w:top w:val="nil"/>
              <w:left w:val="nil"/>
              <w:bottom w:val="nil"/>
              <w:right w:val="nil"/>
            </w:tcBorders>
          </w:tcPr>
          <w:p w:rsidR="00F60B5F" w:rsidRPr="005E192D" w:rsidRDefault="00F60B5F" w:rsidP="00E1323B">
            <w:pPr>
              <w:pStyle w:val="TableofFigures"/>
              <w:rPr>
                <w:rFonts w:eastAsiaTheme="minorEastAsia"/>
                <w:sz w:val="19"/>
                <w:lang w:eastAsia="en-AU"/>
              </w:rPr>
            </w:pPr>
            <w:r w:rsidRPr="005E192D">
              <w:rPr>
                <w:rFonts w:eastAsiaTheme="minorEastAsia"/>
                <w:sz w:val="19"/>
                <w:lang w:eastAsia="en-AU"/>
              </w:rPr>
              <w:t>(3 630.6)</w:t>
            </w:r>
          </w:p>
        </w:tc>
        <w:tc>
          <w:tcPr>
            <w:tcW w:w="900" w:type="dxa"/>
            <w:tcBorders>
              <w:top w:val="nil"/>
              <w:left w:val="nil"/>
              <w:bottom w:val="nil"/>
              <w:right w:val="nil"/>
            </w:tcBorders>
          </w:tcPr>
          <w:p w:rsidR="00F60B5F" w:rsidRPr="005E192D" w:rsidRDefault="00F60B5F" w:rsidP="00E1323B">
            <w:pPr>
              <w:pStyle w:val="TableofFigures"/>
              <w:rPr>
                <w:rFonts w:eastAsiaTheme="minorEastAsia" w:cs="Calibri"/>
                <w:szCs w:val="22"/>
                <w:lang w:eastAsia="en-AU"/>
              </w:rPr>
            </w:pPr>
            <w:r w:rsidRPr="005E192D">
              <w:rPr>
                <w:rFonts w:eastAsiaTheme="minorEastAsia"/>
                <w:sz w:val="19"/>
                <w:szCs w:val="22"/>
                <w:lang w:eastAsia="en-AU"/>
              </w:rPr>
              <w:t>(3 858.2</w:t>
            </w:r>
            <w:r w:rsidRPr="005E192D">
              <w:rPr>
                <w:rFonts w:eastAsiaTheme="minorEastAsia" w:cs="Calibri"/>
                <w:szCs w:val="22"/>
                <w:lang w:eastAsia="en-AU"/>
              </w:rPr>
              <w:t>)</w:t>
            </w:r>
          </w:p>
        </w:tc>
        <w:tc>
          <w:tcPr>
            <w:tcW w:w="871" w:type="dxa"/>
            <w:tcBorders>
              <w:top w:val="nil"/>
              <w:left w:val="nil"/>
              <w:bottom w:val="nil"/>
              <w:right w:val="nil"/>
            </w:tcBorders>
          </w:tcPr>
          <w:p w:rsidR="00F60B5F" w:rsidRPr="005E192D" w:rsidRDefault="00F60B5F" w:rsidP="00E1323B">
            <w:pPr>
              <w:pStyle w:val="TableofFigures"/>
              <w:rPr>
                <w:rFonts w:eastAsiaTheme="minorEastAsia"/>
                <w:sz w:val="19"/>
                <w:szCs w:val="22"/>
                <w:lang w:eastAsia="en-AU"/>
              </w:rPr>
            </w:pPr>
            <w:r w:rsidRPr="005E192D">
              <w:rPr>
                <w:rFonts w:eastAsiaTheme="minorEastAsia"/>
                <w:sz w:val="19"/>
                <w:szCs w:val="22"/>
                <w:lang w:eastAsia="en-AU"/>
              </w:rPr>
              <w:t>(3 533.5)</w:t>
            </w:r>
          </w:p>
        </w:tc>
        <w:tc>
          <w:tcPr>
            <w:tcW w:w="871" w:type="dxa"/>
            <w:tcBorders>
              <w:top w:val="nil"/>
              <w:left w:val="nil"/>
              <w:bottom w:val="nil"/>
              <w:right w:val="nil"/>
            </w:tcBorders>
          </w:tcPr>
          <w:p w:rsidR="00F60B5F" w:rsidRPr="005E192D" w:rsidRDefault="00F60B5F" w:rsidP="00E1323B">
            <w:pPr>
              <w:pStyle w:val="TableofFigures"/>
              <w:rPr>
                <w:rFonts w:eastAsiaTheme="minorEastAsia"/>
                <w:sz w:val="19"/>
                <w:szCs w:val="22"/>
                <w:lang w:eastAsia="en-AU"/>
              </w:rPr>
            </w:pPr>
            <w:r w:rsidRPr="005E192D">
              <w:rPr>
                <w:rFonts w:eastAsiaTheme="minorEastAsia"/>
                <w:sz w:val="19"/>
                <w:szCs w:val="22"/>
                <w:lang w:eastAsia="en-AU"/>
              </w:rPr>
              <w:t>(2 632.9)</w:t>
            </w:r>
          </w:p>
        </w:tc>
        <w:tc>
          <w:tcPr>
            <w:tcW w:w="871" w:type="dxa"/>
            <w:tcBorders>
              <w:top w:val="nil"/>
              <w:left w:val="nil"/>
              <w:bottom w:val="nil"/>
              <w:right w:val="nil"/>
            </w:tcBorders>
          </w:tcPr>
          <w:p w:rsidR="00F60B5F" w:rsidRPr="005E192D" w:rsidRDefault="00F60B5F" w:rsidP="00E1323B">
            <w:pPr>
              <w:pStyle w:val="TableofFigures"/>
              <w:rPr>
                <w:rFonts w:eastAsiaTheme="minorEastAsia"/>
                <w:sz w:val="19"/>
                <w:szCs w:val="22"/>
                <w:lang w:eastAsia="en-AU"/>
              </w:rPr>
            </w:pPr>
            <w:r w:rsidRPr="005E192D">
              <w:rPr>
                <w:rFonts w:eastAsiaTheme="minorEastAsia"/>
                <w:sz w:val="19"/>
                <w:szCs w:val="22"/>
                <w:lang w:eastAsia="en-AU"/>
              </w:rPr>
              <w:t>(2 001.0)</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investments in financial assets for policy purposes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( 45.0)</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4.0</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49.2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1.9</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( 0.9</w:t>
            </w:r>
            <w:r w:rsidRPr="00E1323B">
              <w:rPr>
                <w:rFonts w:eastAsiaTheme="minorEastAsia" w:cs="Calibri"/>
                <w:lang w:eastAsia="en-AU"/>
              </w:rPr>
              <w:t>)</w:t>
            </w:r>
          </w:p>
        </w:tc>
      </w:tr>
      <w:tr w:rsidR="00F60B5F" w:rsidRPr="00E1323B" w:rsidTr="00E1323B">
        <w:tc>
          <w:tcPr>
            <w:tcW w:w="2445"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investments in financial assets for liquidity purposes</w:t>
            </w:r>
          </w:p>
        </w:tc>
        <w:tc>
          <w:tcPr>
            <w:tcW w:w="990" w:type="dxa"/>
            <w:gridSpan w:val="4"/>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12.3</w:t>
            </w:r>
          </w:p>
        </w:tc>
        <w:tc>
          <w:tcPr>
            <w:tcW w:w="81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58.8</w:t>
            </w:r>
          </w:p>
        </w:tc>
        <w:tc>
          <w:tcPr>
            <w:tcW w:w="90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163.5</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35.8</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( 8.5)</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10.4</w:t>
            </w:r>
          </w:p>
        </w:tc>
      </w:tr>
      <w:tr w:rsidR="00F60B5F" w:rsidRPr="00E1323B" w:rsidTr="00E1323B">
        <w:tc>
          <w:tcPr>
            <w:tcW w:w="2445"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investing activities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(3 578.8)</w:t>
            </w:r>
          </w:p>
        </w:tc>
        <w:tc>
          <w:tcPr>
            <w:tcW w:w="81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(3 567.8)</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(3 645.5</w:t>
            </w:r>
            <w:r w:rsidRPr="00E1323B">
              <w:rPr>
                <w:rFonts w:eastAsiaTheme="minorEastAsia" w:cs="Calibri"/>
                <w:b/>
                <w:bCs/>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(3 494.4)</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(2 639.5)</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(1 991.5)</w:t>
            </w:r>
          </w:p>
        </w:tc>
      </w:tr>
      <w:tr w:rsidR="00F60B5F" w:rsidRPr="00E1323B" w:rsidTr="00E1323B">
        <w:tc>
          <w:tcPr>
            <w:tcW w:w="2992" w:type="dxa"/>
            <w:gridSpan w:val="4"/>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financing activities</w:t>
            </w:r>
          </w:p>
        </w:tc>
        <w:tc>
          <w:tcPr>
            <w:tcW w:w="44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Advances received (net)</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6.6</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12.9</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12.6</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13.2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13.2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13.2</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borrowings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1 053.3</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959.6</w:t>
            </w:r>
          </w:p>
        </w:tc>
        <w:tc>
          <w:tcPr>
            <w:tcW w:w="90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900.9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805.0</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774.3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486.5</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Deposits received (net)</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20.1</w:t>
            </w:r>
          </w:p>
        </w:tc>
        <w:tc>
          <w:tcPr>
            <w:tcW w:w="81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( 1.0)</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( 13.9)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1.8</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1.2</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financing (net)</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1 046.5</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1 248.1</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1 394.3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1 371.9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279.6</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17.4</w:t>
            </w:r>
          </w:p>
        </w:tc>
      </w:tr>
      <w:tr w:rsidR="00F60B5F" w:rsidRPr="00E1323B" w:rsidTr="00E1323B">
        <w:tc>
          <w:tcPr>
            <w:tcW w:w="2445"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financing activities</w:t>
            </w:r>
          </w:p>
        </w:tc>
        <w:tc>
          <w:tcPr>
            <w:tcW w:w="990" w:type="dxa"/>
            <w:gridSpan w:val="4"/>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2 126.5</w:t>
            </w:r>
          </w:p>
        </w:tc>
        <w:tc>
          <w:tcPr>
            <w:tcW w:w="810"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2 219.6</w:t>
            </w:r>
          </w:p>
        </w:tc>
        <w:tc>
          <w:tcPr>
            <w:tcW w:w="900"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2 293.9</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2 191.9</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1 067.4</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518.3</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pageBreakBefore/>
              <w:ind w:left="181" w:hanging="181"/>
              <w:rPr>
                <w:rFonts w:eastAsiaTheme="minorEastAsia"/>
                <w:b/>
                <w:bCs/>
                <w:sz w:val="19"/>
                <w:lang w:eastAsia="en-AU"/>
              </w:rPr>
            </w:pPr>
            <w:r w:rsidRPr="00E1323B">
              <w:rPr>
                <w:rFonts w:eastAsiaTheme="minorEastAsia"/>
                <w:b/>
                <w:bCs/>
                <w:sz w:val="19"/>
                <w:lang w:eastAsia="en-AU"/>
              </w:rPr>
              <w:t>Net increase/(decrease) in cash and cash equivalents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24.1</w:t>
            </w:r>
          </w:p>
        </w:tc>
        <w:tc>
          <w:tcPr>
            <w:tcW w:w="81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51.4</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( 150.7)</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92.1</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0.8</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135.9</w:t>
            </w:r>
          </w:p>
        </w:tc>
      </w:tr>
      <w:tr w:rsidR="00F60B5F" w:rsidRPr="00E1323B" w:rsidTr="00E1323B">
        <w:tc>
          <w:tcPr>
            <w:tcW w:w="2567" w:type="dxa"/>
            <w:gridSpan w:val="3"/>
            <w:tcBorders>
              <w:top w:val="nil"/>
              <w:left w:val="nil"/>
              <w:bottom w:val="nil"/>
              <w:right w:val="nil"/>
            </w:tcBorders>
            <w:shd w:val="clear" w:color="auto"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Cash and cash equivalents at beginning of reporting period</w:t>
            </w:r>
          </w:p>
        </w:tc>
        <w:tc>
          <w:tcPr>
            <w:tcW w:w="868" w:type="dxa"/>
            <w:gridSpan w:val="2"/>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773.8</w:t>
            </w:r>
          </w:p>
        </w:tc>
        <w:tc>
          <w:tcPr>
            <w:tcW w:w="810"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797.9</w:t>
            </w:r>
          </w:p>
        </w:tc>
        <w:tc>
          <w:tcPr>
            <w:tcW w:w="900"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797.9</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647.1</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739.3</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740.1</w:t>
            </w:r>
          </w:p>
        </w:tc>
      </w:tr>
      <w:tr w:rsidR="00F60B5F" w:rsidRPr="00E1323B" w:rsidTr="00E1323B">
        <w:tc>
          <w:tcPr>
            <w:tcW w:w="2535" w:type="dxa"/>
            <w:gridSpan w:val="2"/>
            <w:tcBorders>
              <w:top w:val="single" w:sz="6" w:space="0" w:color="auto"/>
              <w:left w:val="nil"/>
              <w:bottom w:val="single" w:sz="12" w:space="0" w:color="auto"/>
              <w:right w:val="nil"/>
            </w:tcBorders>
            <w:shd w:val="clear" w:color="auto" w:fill="auto"/>
          </w:tcPr>
          <w:p w:rsidR="00F60B5F" w:rsidRPr="00E1323B" w:rsidRDefault="00F60B5F" w:rsidP="00E1323B">
            <w:pPr>
              <w:pStyle w:val="Tabletext"/>
              <w:rPr>
                <w:rFonts w:eastAsiaTheme="minorEastAsia"/>
                <w:b/>
                <w:bCs/>
                <w:sz w:val="19"/>
                <w:vertAlign w:val="superscript"/>
                <w:lang w:eastAsia="en-AU"/>
              </w:rPr>
            </w:pPr>
            <w:r w:rsidRPr="00E1323B">
              <w:rPr>
                <w:rFonts w:eastAsiaTheme="minorEastAsia"/>
                <w:b/>
                <w:bCs/>
                <w:sz w:val="19"/>
                <w:lang w:eastAsia="en-AU"/>
              </w:rPr>
              <w:t xml:space="preserve">Cash and cash equivalents at end of reporting period </w:t>
            </w:r>
            <w:r w:rsidRPr="00E1323B">
              <w:rPr>
                <w:rFonts w:eastAsiaTheme="minorEastAsia"/>
                <w:b/>
                <w:bCs/>
                <w:sz w:val="19"/>
                <w:vertAlign w:val="superscript"/>
                <w:lang w:eastAsia="en-AU"/>
              </w:rPr>
              <w:t>(b)</w:t>
            </w:r>
          </w:p>
        </w:tc>
        <w:tc>
          <w:tcPr>
            <w:tcW w:w="900" w:type="dxa"/>
            <w:gridSpan w:val="3"/>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797.9</w:t>
            </w:r>
          </w:p>
        </w:tc>
        <w:tc>
          <w:tcPr>
            <w:tcW w:w="810"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849.3</w:t>
            </w:r>
          </w:p>
        </w:tc>
        <w:tc>
          <w:tcPr>
            <w:tcW w:w="900"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647.1</w:t>
            </w:r>
          </w:p>
        </w:tc>
        <w:tc>
          <w:tcPr>
            <w:tcW w:w="871"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739.3</w:t>
            </w:r>
          </w:p>
        </w:tc>
        <w:tc>
          <w:tcPr>
            <w:tcW w:w="871"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740.1</w:t>
            </w:r>
          </w:p>
        </w:tc>
        <w:tc>
          <w:tcPr>
            <w:tcW w:w="871"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876.0</w:t>
            </w:r>
          </w:p>
        </w:tc>
      </w:tr>
      <w:tr w:rsidR="00F60B5F" w:rsidRPr="00E1323B" w:rsidTr="00E1323B">
        <w:trPr>
          <w:trHeight w:hRule="exact" w:val="120"/>
        </w:trPr>
        <w:tc>
          <w:tcPr>
            <w:tcW w:w="2445" w:type="dxa"/>
            <w:tcBorders>
              <w:top w:val="nil"/>
              <w:left w:val="nil"/>
              <w:bottom w:val="nil"/>
              <w:right w:val="nil"/>
            </w:tcBorders>
            <w:shd w:val="clear" w:color="auto" w:fill="auto"/>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 xml:space="preserve"> </w:t>
            </w:r>
          </w:p>
        </w:tc>
        <w:tc>
          <w:tcPr>
            <w:tcW w:w="990" w:type="dxa"/>
            <w:gridSpan w:val="4"/>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10"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p>
        </w:tc>
        <w:tc>
          <w:tcPr>
            <w:tcW w:w="900"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445" w:type="dxa"/>
            <w:tcBorders>
              <w:top w:val="nil"/>
              <w:left w:val="nil"/>
              <w:bottom w:val="nil"/>
              <w:right w:val="nil"/>
            </w:tcBorders>
            <w:shd w:val="clear" w:color="auto" w:fill="auto"/>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FISCAL AGGREGATES</w:t>
            </w:r>
          </w:p>
        </w:tc>
        <w:tc>
          <w:tcPr>
            <w:tcW w:w="990" w:type="dxa"/>
            <w:gridSpan w:val="4"/>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p>
        </w:tc>
        <w:tc>
          <w:tcPr>
            <w:tcW w:w="810"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p>
        </w:tc>
        <w:tc>
          <w:tcPr>
            <w:tcW w:w="900"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lang w:eastAsia="en-AU"/>
              </w:rPr>
            </w:pPr>
          </w:p>
        </w:tc>
      </w:tr>
      <w:tr w:rsidR="00F60B5F" w:rsidRPr="00E1323B" w:rsidTr="00E1323B">
        <w:tc>
          <w:tcPr>
            <w:tcW w:w="2445" w:type="dxa"/>
            <w:tcBorders>
              <w:top w:val="nil"/>
              <w:left w:val="nil"/>
              <w:bottom w:val="nil"/>
              <w:right w:val="nil"/>
            </w:tcBorders>
            <w:shd w:val="clear" w:color="auto"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operating activities</w:t>
            </w:r>
          </w:p>
        </w:tc>
        <w:tc>
          <w:tcPr>
            <w:tcW w:w="990" w:type="dxa"/>
            <w:gridSpan w:val="4"/>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1 476.5</w:t>
            </w:r>
          </w:p>
        </w:tc>
        <w:tc>
          <w:tcPr>
            <w:tcW w:w="810"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1 399.5</w:t>
            </w:r>
          </w:p>
        </w:tc>
        <w:tc>
          <w:tcPr>
            <w:tcW w:w="900"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1 200.9</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1 394.7</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1 572.9</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1 609.1</w:t>
            </w:r>
          </w:p>
        </w:tc>
      </w:tr>
      <w:tr w:rsidR="00F60B5F" w:rsidRPr="00E1323B" w:rsidTr="00E1323B">
        <w:tc>
          <w:tcPr>
            <w:tcW w:w="2445" w:type="dxa"/>
            <w:tcBorders>
              <w:top w:val="nil"/>
              <w:left w:val="nil"/>
              <w:bottom w:val="nil"/>
              <w:right w:val="nil"/>
            </w:tcBorders>
            <w:shd w:val="clear" w:color="auto"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paid</w:t>
            </w:r>
          </w:p>
        </w:tc>
        <w:tc>
          <w:tcPr>
            <w:tcW w:w="990" w:type="dxa"/>
            <w:gridSpan w:val="4"/>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( 720.3)</w:t>
            </w:r>
          </w:p>
        </w:tc>
        <w:tc>
          <w:tcPr>
            <w:tcW w:w="810"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( 152.0</w:t>
            </w:r>
            <w:r w:rsidRPr="00E1323B">
              <w:rPr>
                <w:rFonts w:eastAsiaTheme="minorEastAsia" w:cs="Calibri"/>
                <w:lang w:eastAsia="en-AU"/>
              </w:rPr>
              <w:t>)</w:t>
            </w:r>
          </w:p>
        </w:tc>
        <w:tc>
          <w:tcPr>
            <w:tcW w:w="900"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( 159.3</w:t>
            </w:r>
            <w:r w:rsidRPr="00E1323B">
              <w:rPr>
                <w:rFonts w:eastAsiaTheme="minorEastAsia" w:cs="Calibri"/>
                <w:lang w:eastAsia="en-AU"/>
              </w:rPr>
              <w:t>)</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( 60.8)</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( 159.8)</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( 81.5</w:t>
            </w:r>
            <w:r w:rsidRPr="00E1323B">
              <w:rPr>
                <w:rFonts w:eastAsiaTheme="minorEastAsia" w:cs="Calibri"/>
                <w:lang w:eastAsia="en-AU"/>
              </w:rPr>
              <w:t>)</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Cash flows from investments in non</w:t>
            </w:r>
            <w:r>
              <w:rPr>
                <w:rFonts w:eastAsiaTheme="minorEastAsia"/>
                <w:sz w:val="19"/>
                <w:lang w:eastAsia="en-AU"/>
              </w:rPr>
              <w:noBreakHyphen/>
            </w:r>
            <w:r w:rsidRPr="00E1323B">
              <w:rPr>
                <w:rFonts w:eastAsiaTheme="minorEastAsia"/>
                <w:sz w:val="19"/>
                <w:lang w:eastAsia="en-AU"/>
              </w:rPr>
              <w:t>financial assets</w:t>
            </w:r>
          </w:p>
        </w:tc>
        <w:tc>
          <w:tcPr>
            <w:tcW w:w="990"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(3 546.1)</w:t>
            </w:r>
          </w:p>
        </w:tc>
        <w:tc>
          <w:tcPr>
            <w:tcW w:w="81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(3 630.6)</w:t>
            </w:r>
          </w:p>
        </w:tc>
        <w:tc>
          <w:tcPr>
            <w:tcW w:w="90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(3 858.2</w:t>
            </w:r>
            <w:r w:rsidRPr="00E1323B">
              <w:rPr>
                <w:rFonts w:eastAsiaTheme="minorEastAsia" w:cs="Calibri"/>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(3 533.5)</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(2 632.9)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(2 001.0)</w:t>
            </w:r>
          </w:p>
        </w:tc>
      </w:tr>
      <w:tr w:rsidR="00F60B5F" w:rsidRPr="00E1323B" w:rsidTr="00E1323B">
        <w:tc>
          <w:tcPr>
            <w:tcW w:w="244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(deficit)</w:t>
            </w:r>
          </w:p>
        </w:tc>
        <w:tc>
          <w:tcPr>
            <w:tcW w:w="990" w:type="dxa"/>
            <w:gridSpan w:val="4"/>
            <w:tcBorders>
              <w:top w:val="single" w:sz="6" w:space="0" w:color="000000"/>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(2 789.9)</w:t>
            </w:r>
          </w:p>
        </w:tc>
        <w:tc>
          <w:tcPr>
            <w:tcW w:w="810" w:type="dxa"/>
            <w:tcBorders>
              <w:top w:val="single" w:sz="6" w:space="0" w:color="000000"/>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(2 383.0</w:t>
            </w:r>
            <w:r w:rsidRPr="00E1323B">
              <w:rPr>
                <w:rFonts w:eastAsiaTheme="minorEastAsia" w:cs="Calibri"/>
                <w:b/>
                <w:bCs/>
                <w:lang w:eastAsia="en-AU"/>
              </w:rPr>
              <w:t>)</w:t>
            </w:r>
          </w:p>
        </w:tc>
        <w:tc>
          <w:tcPr>
            <w:tcW w:w="900" w:type="dxa"/>
            <w:tcBorders>
              <w:top w:val="single" w:sz="6" w:space="0" w:color="000000"/>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(2 816.6</w:t>
            </w:r>
            <w:r w:rsidRPr="00E1323B">
              <w:rPr>
                <w:rFonts w:eastAsiaTheme="minorEastAsia" w:cs="Calibri"/>
                <w:b/>
                <w:bCs/>
                <w:lang w:eastAsia="en-AU"/>
              </w:rPr>
              <w:t>)</w:t>
            </w:r>
          </w:p>
        </w:tc>
        <w:tc>
          <w:tcPr>
            <w:tcW w:w="871" w:type="dxa"/>
            <w:tcBorders>
              <w:top w:val="single" w:sz="6" w:space="0" w:color="000000"/>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(2 199.6)</w:t>
            </w:r>
          </w:p>
        </w:tc>
        <w:tc>
          <w:tcPr>
            <w:tcW w:w="871" w:type="dxa"/>
            <w:tcBorders>
              <w:top w:val="single" w:sz="6" w:space="0" w:color="000000"/>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(1 219.8)</w:t>
            </w:r>
          </w:p>
        </w:tc>
        <w:tc>
          <w:tcPr>
            <w:tcW w:w="871" w:type="dxa"/>
            <w:tcBorders>
              <w:top w:val="single" w:sz="6" w:space="0" w:color="000000"/>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( 473.4)</w:t>
            </w:r>
          </w:p>
        </w:tc>
      </w:tr>
    </w:tbl>
    <w:p w:rsidR="00F60B5F" w:rsidRPr="00F27D04" w:rsidRDefault="00F60B5F" w:rsidP="005064BB">
      <w:pPr>
        <w:pStyle w:val="Source"/>
      </w:pPr>
      <w:r w:rsidRPr="00F27D04">
        <w:t>Source: Department of Treasury and Finance</w:t>
      </w:r>
    </w:p>
    <w:p w:rsidR="00F60B5F" w:rsidRPr="00F27D04" w:rsidRDefault="00F60B5F" w:rsidP="0027566E">
      <w:pPr>
        <w:pStyle w:val="Notes"/>
      </w:pPr>
      <w:r w:rsidRPr="00F27D04">
        <w:t>Notes:</w:t>
      </w:r>
    </w:p>
    <w:p w:rsidR="00F60B5F" w:rsidRPr="00F27D04" w:rsidRDefault="00F60B5F" w:rsidP="0027566E">
      <w:pPr>
        <w:pStyle w:val="Notes"/>
      </w:pPr>
      <w:r w:rsidRPr="00F27D04">
        <w:t>(a)</w:t>
      </w:r>
      <w:r w:rsidRPr="00F27D04">
        <w:tab/>
        <w:t>These items are inclusive of goods and service tax.</w:t>
      </w:r>
    </w:p>
    <w:p w:rsidR="00F60B5F" w:rsidRPr="00F27D04" w:rsidRDefault="00F60B5F" w:rsidP="0027566E">
      <w:pPr>
        <w:pStyle w:val="Notes"/>
      </w:pPr>
      <w:r w:rsidRPr="00F27D04">
        <w:t>(b)</w:t>
      </w:r>
      <w:r w:rsidRPr="00F27D04">
        <w:tab/>
        <w:t>Cash and cash equivalents at the end of reporting period does not equal to cash and deposit on the balance sheet. This is due to the overdraft being included on the cash flow statement.</w:t>
      </w:r>
    </w:p>
    <w:p w:rsidR="00F60B5F" w:rsidRPr="00F27D04" w:rsidRDefault="00F60B5F" w:rsidP="0027566E">
      <w:pPr>
        <w:pStyle w:val="Notes"/>
      </w:pPr>
    </w:p>
    <w:p w:rsidR="00F60B5F" w:rsidRPr="00F27D04" w:rsidRDefault="00F60B5F">
      <w:pPr>
        <w:spacing w:after="0"/>
      </w:pPr>
    </w:p>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6.4:</w:t>
      </w:r>
      <w:r w:rsidRPr="00F27D04">
        <w:tab/>
        <w:t>Public non</w:t>
      </w:r>
      <w:r>
        <w:noBreakHyphen/>
      </w:r>
      <w:r w:rsidRPr="00F27D04">
        <w:t>financial corporations sector statement of changes in equity</w:t>
      </w:r>
    </w:p>
    <w:p w:rsidR="00F60B5F"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4748"/>
        <w:gridCol w:w="1506"/>
        <w:gridCol w:w="1506"/>
      </w:tblGrid>
      <w:tr w:rsidR="00F60B5F" w:rsidRPr="00E1323B" w:rsidTr="00E1323B">
        <w:tc>
          <w:tcPr>
            <w:tcW w:w="4748" w:type="dxa"/>
            <w:tcBorders>
              <w:top w:val="single" w:sz="6" w:space="0" w:color="000000"/>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1506"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Accumulated surplus/(deficit)</w:t>
            </w:r>
          </w:p>
        </w:tc>
        <w:tc>
          <w:tcPr>
            <w:tcW w:w="1506" w:type="dxa"/>
            <w:tcBorders>
              <w:top w:val="single" w:sz="6" w:space="0" w:color="000000"/>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Contribution</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by owners</w:t>
            </w:r>
          </w:p>
        </w:tc>
      </w:tr>
      <w:tr w:rsidR="00F60B5F" w:rsidRPr="00E1323B" w:rsidTr="00E1323B">
        <w:tc>
          <w:tcPr>
            <w:tcW w:w="4748"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2012</w:t>
            </w:r>
            <w:r>
              <w:rPr>
                <w:rFonts w:eastAsiaTheme="minorEastAsia"/>
                <w:b/>
                <w:bCs/>
                <w:sz w:val="19"/>
                <w:szCs w:val="19"/>
                <w:lang w:eastAsia="en-AU"/>
              </w:rPr>
              <w:noBreakHyphen/>
            </w:r>
            <w:r w:rsidRPr="00E1323B">
              <w:rPr>
                <w:rFonts w:eastAsiaTheme="minorEastAsia"/>
                <w:b/>
                <w:bCs/>
                <w:sz w:val="19"/>
                <w:szCs w:val="19"/>
                <w:lang w:eastAsia="en-AU"/>
              </w:rPr>
              <w:t>13 Actual</w:t>
            </w:r>
          </w:p>
        </w:tc>
        <w:tc>
          <w:tcPr>
            <w:tcW w:w="1506"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1506"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Balance at 1 July 2012</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5 830.0</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27 854.1</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result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( 376.8)</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comprehensive income for the year</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130.4</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paid</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( 720.3)</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Transactions with owners in their capacity as owners</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2 770.8</w:t>
            </w:r>
          </w:p>
        </w:tc>
      </w:tr>
      <w:tr w:rsidR="00F60B5F" w:rsidRPr="00E1323B" w:rsidTr="00E1323B">
        <w:tc>
          <w:tcPr>
            <w:tcW w:w="474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equity  at end of period</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4 863.3</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30 624.9</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2013</w:t>
            </w:r>
            <w:r>
              <w:rPr>
                <w:rFonts w:eastAsiaTheme="minorEastAsia"/>
                <w:b/>
                <w:bCs/>
                <w:sz w:val="19"/>
                <w:szCs w:val="19"/>
                <w:lang w:eastAsia="en-AU"/>
              </w:rPr>
              <w:noBreakHyphen/>
            </w:r>
            <w:r w:rsidRPr="00E1323B">
              <w:rPr>
                <w:rFonts w:eastAsiaTheme="minorEastAsia"/>
                <w:b/>
                <w:bCs/>
                <w:sz w:val="19"/>
                <w:szCs w:val="19"/>
                <w:lang w:eastAsia="en-AU"/>
              </w:rPr>
              <w:t>14 Budget</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Balance at 1 July 2013</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4 863.3</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30 624.9</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result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( 236.9)</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comprehensive income for the year</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4.6</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paid</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( 152.0)</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Transactions with owners in their capacity as owners</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2 259.0</w:t>
            </w:r>
          </w:p>
        </w:tc>
      </w:tr>
      <w:tr w:rsidR="00F60B5F" w:rsidRPr="00E1323B" w:rsidTr="00E1323B">
        <w:tc>
          <w:tcPr>
            <w:tcW w:w="474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equity at end of period</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4 479.0</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32 883.9</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2013</w:t>
            </w:r>
            <w:r>
              <w:rPr>
                <w:rFonts w:eastAsiaTheme="minorEastAsia"/>
                <w:b/>
                <w:bCs/>
                <w:sz w:val="19"/>
                <w:szCs w:val="19"/>
                <w:lang w:eastAsia="en-AU"/>
              </w:rPr>
              <w:noBreakHyphen/>
            </w:r>
            <w:r w:rsidRPr="00E1323B">
              <w:rPr>
                <w:rFonts w:eastAsiaTheme="minorEastAsia"/>
                <w:b/>
                <w:bCs/>
                <w:sz w:val="19"/>
                <w:szCs w:val="19"/>
                <w:lang w:eastAsia="en-AU"/>
              </w:rPr>
              <w:t>14 Revised</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Balance at 1 July 2013</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4 863.3</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30 624.9</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result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( 259.0)</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comprehensive income for the year</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( 24.1)</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paid</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4.3</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Transactions with owners in their capacity as owners</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2 339.6</w:t>
            </w:r>
          </w:p>
        </w:tc>
      </w:tr>
      <w:tr w:rsidR="00F60B5F" w:rsidRPr="00E1323B" w:rsidTr="00E1323B">
        <w:tc>
          <w:tcPr>
            <w:tcW w:w="474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equity at end of period</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4 584.5</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32 964.5</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2014</w:t>
            </w:r>
            <w:r>
              <w:rPr>
                <w:rFonts w:eastAsiaTheme="minorEastAsia"/>
                <w:b/>
                <w:bCs/>
                <w:sz w:val="19"/>
                <w:szCs w:val="19"/>
                <w:lang w:eastAsia="en-AU"/>
              </w:rPr>
              <w:noBreakHyphen/>
            </w:r>
            <w:r w:rsidRPr="00E1323B">
              <w:rPr>
                <w:rFonts w:eastAsiaTheme="minorEastAsia"/>
                <w:b/>
                <w:bCs/>
                <w:sz w:val="19"/>
                <w:szCs w:val="19"/>
                <w:lang w:eastAsia="en-AU"/>
              </w:rPr>
              <w:t>15 Estimate</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Balance at 1 July 2014</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4 584.5</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32 964.5</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result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( 195.4)</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comprehensive income for the year</w:t>
            </w:r>
          </w:p>
        </w:tc>
        <w:tc>
          <w:tcPr>
            <w:tcW w:w="1506"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szCs w:val="19"/>
                <w:lang w:eastAsia="en-AU"/>
              </w:rPr>
              <w:t>( 22.8</w:t>
            </w:r>
            <w:r w:rsidRPr="00E1323B">
              <w:rPr>
                <w:rFonts w:eastAsiaTheme="minorEastAsia" w:cs="Calibri"/>
                <w:lang w:eastAsia="en-AU"/>
              </w:rPr>
              <w: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paid</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( 60.8)</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Transactions with owners in their capacity as owners</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2 354.6</w:t>
            </w:r>
          </w:p>
        </w:tc>
      </w:tr>
      <w:tr w:rsidR="00F60B5F" w:rsidRPr="00E1323B" w:rsidTr="00E1323B">
        <w:tc>
          <w:tcPr>
            <w:tcW w:w="474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equity at end of period</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4 305.4</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35 319.1</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2015</w:t>
            </w:r>
            <w:r>
              <w:rPr>
                <w:rFonts w:eastAsiaTheme="minorEastAsia"/>
                <w:b/>
                <w:bCs/>
                <w:sz w:val="19"/>
                <w:szCs w:val="19"/>
                <w:lang w:eastAsia="en-AU"/>
              </w:rPr>
              <w:noBreakHyphen/>
            </w:r>
            <w:r w:rsidRPr="00E1323B">
              <w:rPr>
                <w:rFonts w:eastAsiaTheme="minorEastAsia"/>
                <w:b/>
                <w:bCs/>
                <w:sz w:val="19"/>
                <w:szCs w:val="19"/>
                <w:lang w:eastAsia="en-AU"/>
              </w:rPr>
              <w:t>16 Estimate</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Balance at 1 July 2015</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4 305.4</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35 319.1</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result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( 217.5)</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comprehensive income for the year</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( 42.9)</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paid</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( 159.8)</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Transactions with owners in their capacity as owners</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975.0</w:t>
            </w:r>
          </w:p>
        </w:tc>
      </w:tr>
      <w:tr w:rsidR="00F60B5F" w:rsidRPr="00E1323B" w:rsidTr="00E1323B">
        <w:tc>
          <w:tcPr>
            <w:tcW w:w="474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equity at end of period</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3 885.1</w:t>
            </w:r>
          </w:p>
        </w:tc>
        <w:tc>
          <w:tcPr>
            <w:tcW w:w="150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36 294.0</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2016</w:t>
            </w:r>
            <w:r>
              <w:rPr>
                <w:rFonts w:eastAsiaTheme="minorEastAsia"/>
                <w:b/>
                <w:bCs/>
                <w:sz w:val="19"/>
                <w:szCs w:val="19"/>
                <w:lang w:eastAsia="en-AU"/>
              </w:rPr>
              <w:noBreakHyphen/>
            </w:r>
            <w:r w:rsidRPr="00E1323B">
              <w:rPr>
                <w:rFonts w:eastAsiaTheme="minorEastAsia"/>
                <w:b/>
                <w:bCs/>
                <w:sz w:val="19"/>
                <w:szCs w:val="19"/>
                <w:lang w:eastAsia="en-AU"/>
              </w:rPr>
              <w:t>17 Estimate</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150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Balance at 1 July 2016</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3 885.1</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36 294.0</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result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( 310.1)</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comprehensive income for the year</w:t>
            </w:r>
          </w:p>
        </w:tc>
        <w:tc>
          <w:tcPr>
            <w:tcW w:w="1506"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szCs w:val="19"/>
                <w:lang w:eastAsia="en-AU"/>
              </w:rPr>
              <w:t>( 45.1</w:t>
            </w:r>
            <w:r w:rsidRPr="00E1323B">
              <w:rPr>
                <w:rFonts w:eastAsiaTheme="minorEastAsia" w:cs="Calibri"/>
                <w:lang w:eastAsia="en-AU"/>
              </w:rPr>
              <w:t>)</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paid</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( 81.5)</w:t>
            </w:r>
          </w:p>
        </w:tc>
        <w:tc>
          <w:tcPr>
            <w:tcW w:w="150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4748" w:type="dxa"/>
            <w:tcBorders>
              <w:top w:val="nil"/>
              <w:left w:val="nil"/>
              <w:bottom w:val="single" w:sz="6" w:space="0" w:color="auto"/>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Transactions with owners in their capacity as owners</w:t>
            </w:r>
          </w:p>
        </w:tc>
        <w:tc>
          <w:tcPr>
            <w:tcW w:w="150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150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327.2</w:t>
            </w:r>
          </w:p>
        </w:tc>
      </w:tr>
      <w:tr w:rsidR="00F60B5F" w:rsidRPr="00E1323B" w:rsidTr="00E1323B">
        <w:tc>
          <w:tcPr>
            <w:tcW w:w="4748"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equity at end of period</w:t>
            </w:r>
          </w:p>
        </w:tc>
        <w:tc>
          <w:tcPr>
            <w:tcW w:w="150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3 448.4</w:t>
            </w:r>
          </w:p>
        </w:tc>
        <w:tc>
          <w:tcPr>
            <w:tcW w:w="150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36 621.2</w:t>
            </w:r>
          </w:p>
        </w:tc>
      </w:tr>
    </w:tbl>
    <w:p w:rsidR="00F60B5F" w:rsidRPr="00F27D04" w:rsidRDefault="00F60B5F" w:rsidP="00596C71">
      <w:pPr>
        <w:pStyle w:val="Source"/>
      </w:pPr>
      <w:r w:rsidRPr="00F27D04">
        <w:t>Source: Department of Treasury and Finance</w:t>
      </w:r>
    </w:p>
    <w:p w:rsidR="00F60B5F" w:rsidRPr="00F27D04" w:rsidRDefault="00F60B5F" w:rsidP="00CB781B">
      <w:pPr>
        <w:pStyle w:val="Tableheading"/>
      </w:pPr>
    </w:p>
    <w:p w:rsidR="00F60B5F" w:rsidRPr="00E1323B" w:rsidRDefault="00F60B5F" w:rsidP="00E1323B">
      <w:pPr>
        <w:pStyle w:val="million"/>
      </w:pPr>
    </w:p>
    <w:tbl>
      <w:tblPr>
        <w:tblW w:w="7760" w:type="dxa"/>
        <w:tblInd w:w="28" w:type="dxa"/>
        <w:tblLayout w:type="fixed"/>
        <w:tblCellMar>
          <w:left w:w="45" w:type="dxa"/>
          <w:right w:w="45" w:type="dxa"/>
        </w:tblCellMar>
        <w:tblLook w:val="0000" w:firstRow="0" w:lastRow="0" w:firstColumn="0" w:lastColumn="0" w:noHBand="0" w:noVBand="0"/>
      </w:tblPr>
      <w:tblGrid>
        <w:gridCol w:w="2994"/>
        <w:gridCol w:w="2179"/>
        <w:gridCol w:w="2587"/>
      </w:tblGrid>
      <w:tr w:rsidR="00F60B5F" w:rsidRPr="00E1323B" w:rsidTr="00E1323B">
        <w:tc>
          <w:tcPr>
            <w:tcW w:w="2994" w:type="dxa"/>
            <w:tcBorders>
              <w:top w:val="single" w:sz="6" w:space="0" w:color="000000"/>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Land, buildings, infrastructure,</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plant and equipment</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revaluation surplus</w:t>
            </w:r>
          </w:p>
        </w:tc>
        <w:tc>
          <w:tcPr>
            <w:tcW w:w="2179"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Other</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reserves</w:t>
            </w:r>
          </w:p>
        </w:tc>
        <w:tc>
          <w:tcPr>
            <w:tcW w:w="2587" w:type="dxa"/>
            <w:tcBorders>
              <w:top w:val="single" w:sz="6" w:space="0" w:color="000000"/>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Total</w:t>
            </w:r>
          </w:p>
        </w:tc>
      </w:tr>
      <w:tr w:rsidR="00F60B5F" w:rsidRPr="00E1323B" w:rsidTr="00E1323B">
        <w:tc>
          <w:tcPr>
            <w:tcW w:w="2994"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179"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587"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31 887.3</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905.3</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66 476.7</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( 376.8)</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( 133.2)</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( 607.5)</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( 610.2)</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( 720.3)</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2 770.8</w:t>
            </w:r>
          </w:p>
        </w:tc>
      </w:tr>
      <w:tr w:rsidR="00F60B5F" w:rsidRPr="00E1323B" w:rsidTr="00E1323B">
        <w:tc>
          <w:tcPr>
            <w:tcW w:w="299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31 754.1</w:t>
            </w:r>
          </w:p>
        </w:tc>
        <w:tc>
          <w:tcPr>
            <w:tcW w:w="217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297.9</w:t>
            </w:r>
          </w:p>
        </w:tc>
        <w:tc>
          <w:tcPr>
            <w:tcW w:w="258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67 540.2</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31 754.1</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297.9</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67 540.2</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( 236.9)</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1 876.6</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4.8</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1 885.9</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( 152.0)</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2 259.0</w:t>
            </w:r>
          </w:p>
        </w:tc>
      </w:tr>
      <w:tr w:rsidR="00F60B5F" w:rsidRPr="00E1323B" w:rsidTr="00E1323B">
        <w:tc>
          <w:tcPr>
            <w:tcW w:w="299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33 630.7</w:t>
            </w:r>
          </w:p>
        </w:tc>
        <w:tc>
          <w:tcPr>
            <w:tcW w:w="217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302.7</w:t>
            </w:r>
          </w:p>
        </w:tc>
        <w:tc>
          <w:tcPr>
            <w:tcW w:w="258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71 296.3</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31 754.1</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297.9</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67 540.2</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( 259.0)</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1 874.1</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43.0</w:t>
            </w:r>
          </w:p>
        </w:tc>
        <w:tc>
          <w:tcPr>
            <w:tcW w:w="2587" w:type="dxa"/>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sz w:val="19"/>
                <w:szCs w:val="19"/>
                <w:lang w:eastAsia="en-AU"/>
              </w:rPr>
              <w:t>1 893.0</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4.3</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2 339.6</w:t>
            </w:r>
          </w:p>
        </w:tc>
      </w:tr>
      <w:tr w:rsidR="00F60B5F" w:rsidRPr="00E1323B" w:rsidTr="00E1323B">
        <w:tc>
          <w:tcPr>
            <w:tcW w:w="299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33 628.2</w:t>
            </w:r>
          </w:p>
        </w:tc>
        <w:tc>
          <w:tcPr>
            <w:tcW w:w="217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340.9</w:t>
            </w:r>
          </w:p>
        </w:tc>
        <w:tc>
          <w:tcPr>
            <w:tcW w:w="258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71 518.1</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33 628.2</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340.9</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71 518.1</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( 195.4)</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2 779.3</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11.4</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2 767.8</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( 60.8)</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2 354.6</w:t>
            </w:r>
          </w:p>
        </w:tc>
      </w:tr>
      <w:tr w:rsidR="00F60B5F" w:rsidRPr="00E1323B" w:rsidTr="00E1323B">
        <w:tc>
          <w:tcPr>
            <w:tcW w:w="299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36 407.5</w:t>
            </w:r>
          </w:p>
        </w:tc>
        <w:tc>
          <w:tcPr>
            <w:tcW w:w="217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352.3</w:t>
            </w:r>
          </w:p>
        </w:tc>
        <w:tc>
          <w:tcPr>
            <w:tcW w:w="258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76 384.2</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36 407.5</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352.3</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76 384.2</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( 217.5)</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1 268.0</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40.3</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1 265.4</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( 159.8)</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975.0</w:t>
            </w:r>
          </w:p>
        </w:tc>
      </w:tr>
      <w:tr w:rsidR="00F60B5F" w:rsidRPr="00E1323B" w:rsidTr="00E1323B">
        <w:tc>
          <w:tcPr>
            <w:tcW w:w="299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37 675.5</w:t>
            </w:r>
          </w:p>
        </w:tc>
        <w:tc>
          <w:tcPr>
            <w:tcW w:w="217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392.6</w:t>
            </w:r>
          </w:p>
        </w:tc>
        <w:tc>
          <w:tcPr>
            <w:tcW w:w="258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78 247.2</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37 675.5</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392.6</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78 247.2</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( 310.1)</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( 121.3)</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39.0</w:t>
            </w:r>
          </w:p>
        </w:tc>
        <w:tc>
          <w:tcPr>
            <w:tcW w:w="2587" w:type="dxa"/>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sz w:val="19"/>
                <w:szCs w:val="19"/>
                <w:lang w:eastAsia="en-AU"/>
              </w:rPr>
              <w:t>( 127.4</w:t>
            </w:r>
            <w:r w:rsidRPr="00E1323B">
              <w:rPr>
                <w:rFonts w:eastAsiaTheme="minorEastAsia" w:cs="Calibri"/>
                <w:sz w:val="19"/>
                <w:szCs w:val="19"/>
                <w:lang w:eastAsia="en-AU"/>
              </w:rPr>
              <w:t>)</w:t>
            </w:r>
          </w:p>
        </w:tc>
      </w:tr>
      <w:tr w:rsidR="00F60B5F" w:rsidRPr="00E1323B" w:rsidTr="00E1323B">
        <w:tc>
          <w:tcPr>
            <w:tcW w:w="2994"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( 81.5)</w:t>
            </w:r>
          </w:p>
        </w:tc>
      </w:tr>
      <w:tr w:rsidR="00F60B5F" w:rsidRPr="00E1323B" w:rsidTr="00E1323B">
        <w:tc>
          <w:tcPr>
            <w:tcW w:w="2994"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179"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2587"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327.2</w:t>
            </w:r>
          </w:p>
        </w:tc>
      </w:tr>
      <w:tr w:rsidR="00F60B5F" w:rsidRPr="00E1323B" w:rsidTr="00E1323B">
        <w:tc>
          <w:tcPr>
            <w:tcW w:w="2994"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37 554.2</w:t>
            </w:r>
          </w:p>
        </w:tc>
        <w:tc>
          <w:tcPr>
            <w:tcW w:w="2179"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431.6</w:t>
            </w:r>
          </w:p>
        </w:tc>
        <w:tc>
          <w:tcPr>
            <w:tcW w:w="258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78 055.4</w:t>
            </w:r>
          </w:p>
        </w:tc>
      </w:tr>
    </w:tbl>
    <w:p w:rsidR="00F60B5F" w:rsidRPr="00F27D04" w:rsidRDefault="00F60B5F" w:rsidP="00CB781B"/>
    <w:p w:rsidR="00F60B5F" w:rsidRPr="00F27D04" w:rsidRDefault="00F60B5F" w:rsidP="00CB781B">
      <w:pPr>
        <w:pStyle w:val="Tableheading"/>
      </w:pPr>
      <w:r w:rsidRPr="00F27D04">
        <w:t>Table 6.5:</w:t>
      </w:r>
      <w:r w:rsidRPr="00F27D04">
        <w:tab/>
        <w:t>Derivation of public non</w:t>
      </w:r>
      <w:r>
        <w:noBreakHyphen/>
      </w:r>
      <w:r w:rsidRPr="00F27D04">
        <w:t>financial corporations sector GFS cash surplus/(deficit)</w:t>
      </w:r>
    </w:p>
    <w:p w:rsidR="00F60B5F" w:rsidRPr="00E1323B" w:rsidRDefault="00F60B5F" w:rsidP="00E1323B">
      <w:pPr>
        <w:pStyle w:val="million"/>
      </w:pPr>
      <w:r w:rsidRPr="00F27D04">
        <w:t>($</w:t>
      </w:r>
      <w:r>
        <w:t> million</w:t>
      </w:r>
      <w:r w:rsidRPr="00F27D04">
        <w:t>)</w:t>
      </w:r>
    </w:p>
    <w:tbl>
      <w:tblPr>
        <w:tblW w:w="7760" w:type="dxa"/>
        <w:tblInd w:w="28" w:type="dxa"/>
        <w:tblLayout w:type="fixed"/>
        <w:tblCellMar>
          <w:left w:w="43" w:type="dxa"/>
          <w:right w:w="43" w:type="dxa"/>
        </w:tblCellMar>
        <w:tblLook w:val="0000" w:firstRow="0" w:lastRow="0" w:firstColumn="0" w:lastColumn="0" w:noHBand="0" w:noVBand="0"/>
      </w:tblPr>
      <w:tblGrid>
        <w:gridCol w:w="2445"/>
        <w:gridCol w:w="855"/>
        <w:gridCol w:w="892"/>
        <w:gridCol w:w="892"/>
        <w:gridCol w:w="892"/>
        <w:gridCol w:w="892"/>
        <w:gridCol w:w="892"/>
      </w:tblGrid>
      <w:tr w:rsidR="00F60B5F" w:rsidRPr="00E1323B" w:rsidTr="00E1323B">
        <w:tc>
          <w:tcPr>
            <w:tcW w:w="2445" w:type="dxa"/>
            <w:tcBorders>
              <w:top w:val="single" w:sz="6" w:space="0" w:color="000000"/>
              <w:left w:val="single" w:sz="6" w:space="0" w:color="000000"/>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55"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92"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92"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92"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92"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92" w:type="dxa"/>
            <w:tcBorders>
              <w:top w:val="single" w:sz="6" w:space="0" w:color="000000"/>
              <w:left w:val="nil"/>
              <w:bottom w:val="nil"/>
              <w:right w:val="single" w:sz="6" w:space="0" w:color="000000"/>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E1323B">
        <w:tc>
          <w:tcPr>
            <w:tcW w:w="2445" w:type="dxa"/>
            <w:tcBorders>
              <w:top w:val="nil"/>
              <w:left w:val="single" w:sz="6" w:space="0" w:color="000000"/>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55"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Actual</w:t>
            </w:r>
          </w:p>
        </w:tc>
        <w:tc>
          <w:tcPr>
            <w:tcW w:w="892"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Budget</w:t>
            </w:r>
          </w:p>
        </w:tc>
        <w:tc>
          <w:tcPr>
            <w:tcW w:w="892"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Revised</w:t>
            </w:r>
          </w:p>
        </w:tc>
        <w:tc>
          <w:tcPr>
            <w:tcW w:w="892"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92" w:type="dxa"/>
            <w:tcBorders>
              <w:top w:val="nil"/>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92" w:type="dxa"/>
            <w:tcBorders>
              <w:top w:val="nil"/>
              <w:left w:val="nil"/>
              <w:bottom w:val="single" w:sz="6" w:space="0" w:color="000000"/>
              <w:right w:val="single" w:sz="6" w:space="0" w:color="000000"/>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E1323B">
        <w:tc>
          <w:tcPr>
            <w:tcW w:w="2445"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 xml:space="preserve">Cash surplus/(deficit) </w:t>
            </w:r>
          </w:p>
        </w:tc>
        <w:tc>
          <w:tcPr>
            <w:tcW w:w="855" w:type="dxa"/>
            <w:tcBorders>
              <w:top w:val="single" w:sz="6" w:space="0" w:color="000000"/>
              <w:left w:val="nil"/>
              <w:bottom w:val="nil"/>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xml:space="preserve">(2 </w:t>
            </w:r>
            <w:r w:rsidRPr="00E1323B">
              <w:rPr>
                <w:rFonts w:eastAsiaTheme="minorEastAsia" w:cs="Calibri"/>
                <w:b/>
                <w:bCs/>
                <w:lang w:eastAsia="en-AU"/>
              </w:rPr>
              <w:t>789.9)</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(2 383.0)</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(2 816.6</w:t>
            </w:r>
            <w:r w:rsidRPr="00E1323B">
              <w:rPr>
                <w:rFonts w:eastAsiaTheme="minorEastAsia" w:cs="Calibri"/>
                <w:b/>
                <w:bCs/>
                <w:lang w:eastAsia="en-AU"/>
              </w:rPr>
              <w:t>)</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(2 199.6)</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(1 219.8)</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( 473.4)</w:t>
            </w:r>
          </w:p>
        </w:tc>
      </w:tr>
      <w:tr w:rsidR="00F60B5F" w:rsidRPr="00E1323B" w:rsidTr="00E1323B">
        <w:tc>
          <w:tcPr>
            <w:tcW w:w="244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Convergence differences:</w:t>
            </w:r>
          </w:p>
        </w:tc>
        <w:tc>
          <w:tcPr>
            <w:tcW w:w="85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445"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Acquisitions under finance leases and similar arrangements </w:t>
            </w:r>
            <w:r w:rsidRPr="00E1323B">
              <w:rPr>
                <w:rFonts w:eastAsiaTheme="minorEastAsia"/>
                <w:sz w:val="19"/>
                <w:vertAlign w:val="superscript"/>
                <w:lang w:eastAsia="en-AU"/>
              </w:rPr>
              <w:t>(a)</w:t>
            </w:r>
          </w:p>
        </w:tc>
        <w:tc>
          <w:tcPr>
            <w:tcW w:w="855"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(4 369.0</w:t>
            </w:r>
            <w:r w:rsidRPr="00E1323B">
              <w:rPr>
                <w:rFonts w:eastAsiaTheme="minorEastAsia" w:cs="Calibri"/>
                <w:lang w:eastAsia="en-AU"/>
              </w:rPr>
              <w:t>)</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244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vertAlign w:val="superscript"/>
                <w:lang w:eastAsia="en-AU"/>
              </w:rPr>
            </w:pPr>
            <w:r w:rsidRPr="00E1323B">
              <w:rPr>
                <w:rFonts w:eastAsiaTheme="minorEastAsia"/>
                <w:b/>
                <w:bCs/>
                <w:sz w:val="19"/>
                <w:lang w:eastAsia="en-AU"/>
              </w:rPr>
              <w:t xml:space="preserve">GFS cash surplus/(deficit) </w:t>
            </w:r>
            <w:r w:rsidRPr="00E1323B">
              <w:rPr>
                <w:rFonts w:eastAsiaTheme="minorEastAsia"/>
                <w:b/>
                <w:bCs/>
                <w:sz w:val="19"/>
                <w:vertAlign w:val="superscript"/>
                <w:lang w:eastAsia="en-AU"/>
              </w:rPr>
              <w:t>(b)</w:t>
            </w:r>
          </w:p>
        </w:tc>
        <w:tc>
          <w:tcPr>
            <w:tcW w:w="85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(7 158.9</w:t>
            </w:r>
            <w:r w:rsidRPr="00E1323B">
              <w:rPr>
                <w:rFonts w:eastAsiaTheme="minorEastAsia" w:cs="Calibri"/>
                <w:b/>
                <w:bCs/>
                <w:lang w:eastAsia="en-AU"/>
              </w:rPr>
              <w:t>)</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(2 383.0)</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(2 816.6)</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(2 199.6)</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(1 219.8)</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( 473.4)</w:t>
            </w:r>
          </w:p>
        </w:tc>
      </w:tr>
    </w:tbl>
    <w:p w:rsidR="00F60B5F" w:rsidRPr="00F27D04" w:rsidRDefault="00F60B5F" w:rsidP="005064BB">
      <w:pPr>
        <w:pStyle w:val="Source"/>
      </w:pPr>
      <w:r w:rsidRPr="00F27D04">
        <w:t>Source: Department of Treasury and Finance</w:t>
      </w:r>
    </w:p>
    <w:p w:rsidR="00F60B5F" w:rsidRPr="00F27D04" w:rsidRDefault="00F60B5F" w:rsidP="005064BB">
      <w:pPr>
        <w:pStyle w:val="Notes"/>
      </w:pPr>
      <w:r w:rsidRPr="00F27D04">
        <w:t>Notes:</w:t>
      </w:r>
    </w:p>
    <w:p w:rsidR="00F60B5F" w:rsidRPr="00F27D04" w:rsidRDefault="00F60B5F" w:rsidP="005064BB">
      <w:pPr>
        <w:pStyle w:val="Notes"/>
      </w:pPr>
      <w:r w:rsidRPr="00F27D04">
        <w:t xml:space="preserve">(a) </w:t>
      </w:r>
      <w:r w:rsidRPr="00F27D04">
        <w:tab/>
        <w:t>The 2012</w:t>
      </w:r>
      <w:r>
        <w:noBreakHyphen/>
      </w:r>
      <w:r w:rsidRPr="00F27D04">
        <w:t>13 actual reflects the recognition of the finance lease arrangement between the Government and Melbourne Water Corporation for the Victorian desalination plant.</w:t>
      </w:r>
    </w:p>
    <w:p w:rsidR="00F60B5F" w:rsidRPr="00F27D04" w:rsidRDefault="00F60B5F" w:rsidP="005064BB">
      <w:pPr>
        <w:pStyle w:val="Notes"/>
      </w:pPr>
      <w:r w:rsidRPr="00F27D04">
        <w:t xml:space="preserve">(b) </w:t>
      </w:r>
      <w:r w:rsidRPr="00F27D04">
        <w:tab/>
        <w:t>Determined in accordance with ABS GFS manual.</w:t>
      </w:r>
    </w:p>
    <w:p w:rsidR="00F60B5F" w:rsidRPr="00F27D04" w:rsidRDefault="00F60B5F" w:rsidP="005064BB">
      <w:pPr>
        <w:pStyle w:val="Notes"/>
      </w:pPr>
    </w:p>
    <w:p w:rsidR="00F60B5F" w:rsidRPr="00F27D04" w:rsidRDefault="00F60B5F" w:rsidP="005064BB">
      <w:pPr>
        <w:pStyle w:val="Notes"/>
      </w:pPr>
    </w:p>
    <w:p w:rsidR="00F60B5F" w:rsidRPr="00F27D04" w:rsidRDefault="00F60B5F" w:rsidP="00250CAA">
      <w:pPr>
        <w:pStyle w:val="Tableheading"/>
      </w:pPr>
      <w:r w:rsidRPr="00F27D04">
        <w:t>Table 6.6:</w:t>
      </w:r>
      <w:r w:rsidRPr="00F27D04">
        <w:tab/>
        <w:t>Net acquisition of non</w:t>
      </w:r>
      <w:r>
        <w:noBreakHyphen/>
      </w:r>
      <w:r w:rsidRPr="00F27D04">
        <w:t>financial assets – public non</w:t>
      </w:r>
      <w:r>
        <w:noBreakHyphen/>
      </w:r>
      <w:r w:rsidRPr="00F27D04">
        <w:t>financial corporations sector</w:t>
      </w:r>
    </w:p>
    <w:p w:rsidR="00F60B5F"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47"/>
        <w:gridCol w:w="885"/>
        <w:gridCol w:w="886"/>
        <w:gridCol w:w="885"/>
        <w:gridCol w:w="886"/>
        <w:gridCol w:w="885"/>
        <w:gridCol w:w="886"/>
      </w:tblGrid>
      <w:tr w:rsidR="00F60B5F" w:rsidRPr="00E1323B" w:rsidTr="00E1323B">
        <w:tc>
          <w:tcPr>
            <w:tcW w:w="2447"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86"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86"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86"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E1323B">
        <w:tc>
          <w:tcPr>
            <w:tcW w:w="2447"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Actual</w:t>
            </w:r>
          </w:p>
        </w:tc>
        <w:tc>
          <w:tcPr>
            <w:tcW w:w="88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Revised</w:t>
            </w:r>
          </w:p>
        </w:tc>
        <w:tc>
          <w:tcPr>
            <w:tcW w:w="88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86"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E1323B">
        <w:tc>
          <w:tcPr>
            <w:tcW w:w="2447" w:type="dxa"/>
            <w:tcBorders>
              <w:top w:val="single" w:sz="6" w:space="0" w:color="000000"/>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Purchases of non</w:t>
            </w:r>
            <w:r>
              <w:rPr>
                <w:rFonts w:eastAsiaTheme="minorEastAsia"/>
                <w:sz w:val="19"/>
                <w:lang w:eastAsia="en-AU"/>
              </w:rPr>
              <w:noBreakHyphen/>
            </w:r>
            <w:r w:rsidRPr="00E1323B">
              <w:rPr>
                <w:rFonts w:eastAsiaTheme="minorEastAsia"/>
                <w:sz w:val="19"/>
                <w:lang w:eastAsia="en-AU"/>
              </w:rPr>
              <w:t>financial assets</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3 702.5</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3 736.3</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3 958.3</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3 649.2</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2 719.8</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2 074.1</w:t>
            </w:r>
          </w:p>
        </w:tc>
      </w:tr>
      <w:tr w:rsidR="00F60B5F" w:rsidRPr="00E1323B" w:rsidTr="00E1323B">
        <w:tc>
          <w:tcPr>
            <w:tcW w:w="244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Less: Sales of non</w:t>
            </w:r>
            <w:r>
              <w:rPr>
                <w:rFonts w:eastAsiaTheme="minorEastAsia"/>
                <w:sz w:val="19"/>
                <w:lang w:eastAsia="en-AU"/>
              </w:rPr>
              <w:noBreakHyphen/>
            </w:r>
            <w:r w:rsidRPr="00E1323B">
              <w:rPr>
                <w:rFonts w:eastAsiaTheme="minorEastAsia"/>
                <w:sz w:val="19"/>
                <w:lang w:eastAsia="en-AU"/>
              </w:rPr>
              <w:t>financial assets</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( 156.4)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( 105.7)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( 100.1)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( 115.7)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( 86.9)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( 73.1)</w:t>
            </w:r>
          </w:p>
        </w:tc>
      </w:tr>
      <w:tr w:rsidR="00F60B5F" w:rsidRPr="00E1323B" w:rsidTr="00E1323B">
        <w:tc>
          <w:tcPr>
            <w:tcW w:w="244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Less: Depreciation</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(1 838.1)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(2 019.3)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(1 910.6)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(1 977.4)</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(2 139.8)</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(2 322.2)</w:t>
            </w:r>
          </w:p>
        </w:tc>
      </w:tr>
      <w:tr w:rsidR="00F60B5F" w:rsidRPr="00E1323B" w:rsidTr="00E1323B">
        <w:tc>
          <w:tcPr>
            <w:tcW w:w="2447"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Plus: Other movements in non</w:t>
            </w:r>
            <w:r>
              <w:rPr>
                <w:rFonts w:eastAsiaTheme="minorEastAsia"/>
                <w:sz w:val="19"/>
                <w:lang w:eastAsia="en-AU"/>
              </w:rPr>
              <w:noBreakHyphen/>
            </w:r>
            <w:r w:rsidRPr="00E1323B">
              <w:rPr>
                <w:rFonts w:eastAsiaTheme="minorEastAsia"/>
                <w:sz w:val="19"/>
                <w:lang w:eastAsia="en-AU"/>
              </w:rPr>
              <w:t>financial assets</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4 473.3</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93.2</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200.0</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162.1</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170.6</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179.1</w:t>
            </w:r>
          </w:p>
        </w:tc>
      </w:tr>
      <w:tr w:rsidR="00F60B5F" w:rsidRPr="00E1323B" w:rsidTr="00E1323B">
        <w:tc>
          <w:tcPr>
            <w:tcW w:w="244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net acquisition of non</w:t>
            </w:r>
            <w:r>
              <w:rPr>
                <w:rFonts w:eastAsiaTheme="minorEastAsia"/>
                <w:b/>
                <w:bCs/>
                <w:sz w:val="19"/>
                <w:lang w:eastAsia="en-AU"/>
              </w:rPr>
              <w:noBreakHyphen/>
            </w:r>
            <w:r w:rsidRPr="00E1323B">
              <w:rPr>
                <w:rFonts w:eastAsiaTheme="minorEastAsia"/>
                <w:b/>
                <w:bCs/>
                <w:sz w:val="19"/>
                <w:lang w:eastAsia="en-AU"/>
              </w:rPr>
              <w:t>financial assets</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6 181.3</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1 704.5</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2 147.6</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1 718.2</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663.7</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color w:val="000000"/>
                <w:lang w:eastAsia="en-AU"/>
              </w:rPr>
            </w:pPr>
            <w:r w:rsidRPr="00E1323B">
              <w:rPr>
                <w:rFonts w:eastAsiaTheme="minorEastAsia"/>
                <w:b/>
                <w:sz w:val="19"/>
                <w:lang w:eastAsia="en-AU"/>
              </w:rPr>
              <w:t>( 142.2</w:t>
            </w:r>
            <w:r w:rsidRPr="00E1323B">
              <w:rPr>
                <w:rFonts w:eastAsiaTheme="minorEastAsia" w:cs="Calibri"/>
                <w:b/>
                <w:bCs/>
                <w:color w:val="000000"/>
                <w:lang w:eastAsia="en-AU"/>
              </w:rPr>
              <w:t>)</w:t>
            </w:r>
          </w:p>
        </w:tc>
      </w:tr>
    </w:tbl>
    <w:p w:rsidR="00F60B5F" w:rsidRDefault="00F60B5F" w:rsidP="00596C71">
      <w:pPr>
        <w:pStyle w:val="Source"/>
      </w:pPr>
      <w:r w:rsidRPr="00F27D04">
        <w:t>Source: Department of Treasury and Finance</w:t>
      </w:r>
    </w:p>
    <w:p w:rsidR="00F60B5F" w:rsidRPr="00F27D04" w:rsidRDefault="00F60B5F" w:rsidP="00250CAA"/>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6.7:</w:t>
      </w:r>
      <w:r w:rsidRPr="00F27D04">
        <w:tab/>
        <w:t>Non</w:t>
      </w:r>
      <w:r>
        <w:noBreakHyphen/>
      </w:r>
      <w:r w:rsidRPr="00F27D04">
        <w:t>financial public sector comprehensive operating statement</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47"/>
        <w:gridCol w:w="90"/>
        <w:gridCol w:w="795"/>
        <w:gridCol w:w="886"/>
        <w:gridCol w:w="885"/>
        <w:gridCol w:w="886"/>
        <w:gridCol w:w="885"/>
        <w:gridCol w:w="886"/>
      </w:tblGrid>
      <w:tr w:rsidR="00F60B5F" w:rsidRPr="00E1323B" w:rsidTr="00596C71">
        <w:trPr>
          <w:tblHeader/>
        </w:trPr>
        <w:tc>
          <w:tcPr>
            <w:tcW w:w="2447"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gridSpan w:val="2"/>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86"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86"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86"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596C71">
        <w:trPr>
          <w:tblHeader/>
        </w:trPr>
        <w:tc>
          <w:tcPr>
            <w:tcW w:w="2447"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gridSpan w:val="2"/>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Actual</w:t>
            </w:r>
          </w:p>
        </w:tc>
        <w:tc>
          <w:tcPr>
            <w:tcW w:w="88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Revised</w:t>
            </w:r>
          </w:p>
        </w:tc>
        <w:tc>
          <w:tcPr>
            <w:tcW w:w="88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86"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596C71">
        <w:tc>
          <w:tcPr>
            <w:tcW w:w="2447"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Revenue</w:t>
            </w:r>
          </w:p>
        </w:tc>
        <w:tc>
          <w:tcPr>
            <w:tcW w:w="885" w:type="dxa"/>
            <w:gridSpan w:val="2"/>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Taxation revenue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15 198.9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16 050.3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16 086.6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17 187.6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17 901.3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18 907.1</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Interest</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435.0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388.1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360.6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363.5</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388.3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403.9</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and income tax equivalents and rate equivalents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609.4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399.5</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419.1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425.8</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499.4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503.4</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Sales of goods and services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9 826.4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11 226.7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10 770.0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10 853.0</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11 168.3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11 260.1</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Grants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21 879.2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23 290.6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23 246.6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24 265.1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24 816.7</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26 167.1</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revenue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2 728.9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2 485.6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2 526.0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2 416.9</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2 495.3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2 539.8</w:t>
            </w:r>
          </w:p>
        </w:tc>
      </w:tr>
      <w:tr w:rsidR="00F60B5F" w:rsidRPr="00E1323B" w:rsidTr="00596C71">
        <w:tc>
          <w:tcPr>
            <w:tcW w:w="2447"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revenue</w:t>
            </w:r>
          </w:p>
        </w:tc>
        <w:tc>
          <w:tcPr>
            <w:tcW w:w="885" w:type="dxa"/>
            <w:gridSpan w:val="2"/>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50 677.8</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53 841.0</w:t>
            </w:r>
          </w:p>
        </w:tc>
        <w:tc>
          <w:tcPr>
            <w:tcW w:w="885"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53 408.9</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55 512.1</w:t>
            </w:r>
          </w:p>
        </w:tc>
        <w:tc>
          <w:tcPr>
            <w:tcW w:w="885"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57 269.3</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59 781.3</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Expenses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Employee expenses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18 778.0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18 948.1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18 814.5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19 500.8</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20 247.1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20 893.0</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vertAlign w:val="superscript"/>
                <w:lang w:eastAsia="en-AU"/>
              </w:rPr>
            </w:pPr>
            <w:r w:rsidRPr="00E1323B">
              <w:rPr>
                <w:rFonts w:eastAsiaTheme="minorEastAsia"/>
                <w:sz w:val="19"/>
                <w:szCs w:val="19"/>
                <w:lang w:eastAsia="en-AU"/>
              </w:rPr>
              <w:t>Superannuation interest expense</w:t>
            </w:r>
            <w:r w:rsidRPr="00E1323B">
              <w:rPr>
                <w:rFonts w:eastAsiaTheme="minorEastAsia"/>
                <w:sz w:val="19"/>
                <w:szCs w:val="19"/>
                <w:vertAlign w:val="superscript"/>
                <w:lang w:eastAsia="en-AU"/>
              </w:rPr>
              <w:t xml:space="preserve"> (a)</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1 076.8</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1 129.2</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1 052.0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1 005.3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991.2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970.4</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superannuation</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2 016.9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1 987.9</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1 933.1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1 953.5</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1 989.3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2 014.8</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 xml:space="preserve">Depreciation </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4 092.4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4 397.0</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4 319.5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4 489.2</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4 759.5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5 108.6</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Interest expense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2 433.8</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2 940.4</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2 870.5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3 017.7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3 056.7</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3 102.7</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Grants and other transfers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5 399.1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5 268.7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4 999.2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5 366.9</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5 545.4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5 885.5</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operating expenses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18 580.9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19 476.0</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19 733.0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19 727.8</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19 229.5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19 742.4</w:t>
            </w:r>
          </w:p>
        </w:tc>
      </w:tr>
      <w:tr w:rsidR="00F60B5F" w:rsidRPr="00E1323B" w:rsidTr="00596C71">
        <w:tc>
          <w:tcPr>
            <w:tcW w:w="2447"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expenses</w:t>
            </w:r>
          </w:p>
        </w:tc>
        <w:tc>
          <w:tcPr>
            <w:tcW w:w="885"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52 377.7</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54 147.3</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53 721.9</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55 061.3</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55 818.7</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57 717.4</w:t>
            </w:r>
          </w:p>
        </w:tc>
      </w:tr>
      <w:tr w:rsidR="00F60B5F" w:rsidRPr="00E1323B" w:rsidTr="00596C71">
        <w:tc>
          <w:tcPr>
            <w:tcW w:w="2537" w:type="dxa"/>
            <w:gridSpan w:val="2"/>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Net result from transactions</w:t>
            </w:r>
            <w:r>
              <w:rPr>
                <w:rFonts w:eastAsiaTheme="minorEastAsia"/>
                <w:b/>
                <w:bCs/>
                <w:sz w:val="19"/>
                <w:szCs w:val="19"/>
                <w:lang w:eastAsia="en-AU"/>
              </w:rPr>
              <w:t xml:space="preserve"> – </w:t>
            </w:r>
            <w:r w:rsidRPr="00E1323B">
              <w:rPr>
                <w:rFonts w:eastAsiaTheme="minorEastAsia"/>
                <w:b/>
                <w:bCs/>
                <w:sz w:val="19"/>
                <w:szCs w:val="19"/>
                <w:lang w:eastAsia="en-AU"/>
              </w:rPr>
              <w:t>net operating balance</w:t>
            </w:r>
          </w:p>
        </w:tc>
        <w:tc>
          <w:tcPr>
            <w:tcW w:w="79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(1 699.9)</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( 306.3)</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( 312.9)</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450.7</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1 450.6</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2 063.9</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Other economic flows included in net result</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gain/(loss) on sale of non</w:t>
            </w:r>
            <w:r>
              <w:rPr>
                <w:rFonts w:eastAsiaTheme="minorEastAsia"/>
                <w:sz w:val="19"/>
                <w:szCs w:val="19"/>
                <w:lang w:eastAsia="en-AU"/>
              </w:rPr>
              <w:noBreakHyphen/>
            </w:r>
            <w:r w:rsidRPr="00E1323B">
              <w:rPr>
                <w:rFonts w:eastAsiaTheme="minorEastAsia"/>
                <w:sz w:val="19"/>
                <w:szCs w:val="19"/>
                <w:lang w:eastAsia="en-AU"/>
              </w:rPr>
              <w:t>financial assets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21.1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106.7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106.6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93.4</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75.5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95.3</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gain/(loss) on financial assets or liabilities at fair value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( 29.5)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0.8</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4.8</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4.5</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4.1</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Share of net profit/(loss) from associates/ joint venture entities, excluding dividends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( 83.4)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(losses) from other economic flows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( 381.6)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( 406.0)</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( 311.2)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( 307.2)</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( 335.6)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( 352.9)</w:t>
            </w:r>
          </w:p>
        </w:tc>
      </w:tr>
      <w:tr w:rsidR="00F60B5F" w:rsidRPr="00E1323B" w:rsidTr="00596C71">
        <w:tc>
          <w:tcPr>
            <w:tcW w:w="2447"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other economic flows included in net result</w:t>
            </w:r>
          </w:p>
        </w:tc>
        <w:tc>
          <w:tcPr>
            <w:tcW w:w="885" w:type="dxa"/>
            <w:gridSpan w:val="2"/>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( 473.4)</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( 298.5)</w:t>
            </w:r>
          </w:p>
        </w:tc>
        <w:tc>
          <w:tcPr>
            <w:tcW w:w="885"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( 199.9)</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( 209.3)</w:t>
            </w:r>
          </w:p>
        </w:tc>
        <w:tc>
          <w:tcPr>
            <w:tcW w:w="885"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( 255.8)</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( 253.5)</w:t>
            </w:r>
          </w:p>
        </w:tc>
      </w:tr>
      <w:tr w:rsidR="00F60B5F" w:rsidRPr="00E1323B" w:rsidTr="00596C71">
        <w:tc>
          <w:tcPr>
            <w:tcW w:w="244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Net result</w:t>
            </w:r>
          </w:p>
        </w:tc>
        <w:tc>
          <w:tcPr>
            <w:tcW w:w="885" w:type="dxa"/>
            <w:gridSpan w:val="2"/>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(2 173.3)</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( 604.8)</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( 512.8)</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241.4</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1 194.8</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1 810.4</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ind w:left="187" w:hanging="187"/>
              <w:rPr>
                <w:rFonts w:eastAsiaTheme="minorEastAsia"/>
                <w:b/>
                <w:bCs/>
                <w:sz w:val="19"/>
                <w:szCs w:val="19"/>
                <w:lang w:eastAsia="en-AU"/>
              </w:rPr>
            </w:pPr>
            <w:r w:rsidRPr="00E1323B">
              <w:rPr>
                <w:rFonts w:eastAsiaTheme="minorEastAsia"/>
                <w:b/>
                <w:bCs/>
                <w:sz w:val="19"/>
                <w:szCs w:val="19"/>
                <w:lang w:eastAsia="en-AU"/>
              </w:rPr>
              <w:t xml:space="preserve">Other economic flows – other comprehensive income </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Items that will not be reclassified to net result</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Changes in non</w:t>
            </w:r>
            <w:r>
              <w:rPr>
                <w:rFonts w:eastAsiaTheme="minorEastAsia"/>
                <w:sz w:val="19"/>
                <w:szCs w:val="19"/>
                <w:lang w:eastAsia="en-AU"/>
              </w:rPr>
              <w:noBreakHyphen/>
            </w:r>
            <w:r w:rsidRPr="00E1323B">
              <w:rPr>
                <w:rFonts w:eastAsiaTheme="minorEastAsia"/>
                <w:sz w:val="19"/>
                <w:szCs w:val="19"/>
                <w:lang w:eastAsia="en-AU"/>
              </w:rPr>
              <w:t>financial assets revaluation surplus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796.4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5 774.7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2 687.2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7 164.1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2 864.6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1 696.9</w:t>
            </w:r>
          </w:p>
        </w:tc>
      </w:tr>
    </w:tbl>
    <w:p w:rsidR="00F60B5F" w:rsidRDefault="00F60B5F">
      <w:r>
        <w:br w:type="page"/>
      </w:r>
    </w:p>
    <w:p w:rsidR="00F60B5F" w:rsidRPr="002E09B7" w:rsidRDefault="00F60B5F" w:rsidP="002E09B7">
      <w:pPr>
        <w:pStyle w:val="Tableheading"/>
        <w:rPr>
          <w:i/>
        </w:rPr>
      </w:pPr>
      <w:r w:rsidRPr="00F27D04">
        <w:t>Table 6.7:</w:t>
      </w:r>
      <w:r w:rsidRPr="00F27D04">
        <w:tab/>
        <w:t>Non</w:t>
      </w:r>
      <w:r>
        <w:noBreakHyphen/>
      </w:r>
      <w:r w:rsidRPr="00F27D04">
        <w:t>financial public sector comprehensive operating statement</w:t>
      </w:r>
      <w:r>
        <w:t xml:space="preserve"> </w:t>
      </w:r>
      <w:r>
        <w:rPr>
          <w:i/>
        </w:rPr>
        <w:t>(continued)</w:t>
      </w:r>
    </w:p>
    <w:p w:rsidR="00F60B5F" w:rsidRDefault="00F60B5F" w:rsidP="002E09B7">
      <w:pPr>
        <w:pStyle w:val="million"/>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2447"/>
        <w:gridCol w:w="885"/>
        <w:gridCol w:w="886"/>
        <w:gridCol w:w="885"/>
        <w:gridCol w:w="886"/>
        <w:gridCol w:w="885"/>
        <w:gridCol w:w="886"/>
      </w:tblGrid>
      <w:tr w:rsidR="00F60B5F" w:rsidRPr="00E1323B" w:rsidTr="00C13386">
        <w:trPr>
          <w:tblHeader/>
        </w:trPr>
        <w:tc>
          <w:tcPr>
            <w:tcW w:w="2447" w:type="dxa"/>
            <w:tcBorders>
              <w:top w:val="single" w:sz="6" w:space="0" w:color="000000"/>
              <w:left w:val="single" w:sz="6" w:space="0" w:color="000000"/>
              <w:bottom w:val="nil"/>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86"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85"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86"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85"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86" w:type="dxa"/>
            <w:tcBorders>
              <w:top w:val="single" w:sz="6" w:space="0" w:color="000000"/>
              <w:left w:val="nil"/>
              <w:bottom w:val="nil"/>
              <w:right w:val="single" w:sz="6" w:space="0" w:color="000000"/>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C13386">
        <w:trPr>
          <w:tblHeader/>
        </w:trPr>
        <w:tc>
          <w:tcPr>
            <w:tcW w:w="2447" w:type="dxa"/>
            <w:tcBorders>
              <w:left w:val="single" w:sz="6" w:space="0" w:color="000000"/>
              <w:bottom w:val="single" w:sz="6" w:space="0" w:color="000000"/>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Actual</w:t>
            </w:r>
          </w:p>
        </w:tc>
        <w:tc>
          <w:tcPr>
            <w:tcW w:w="886"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Revised</w:t>
            </w:r>
          </w:p>
        </w:tc>
        <w:tc>
          <w:tcPr>
            <w:tcW w:w="886"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Estimate</w:t>
            </w:r>
          </w:p>
        </w:tc>
        <w:tc>
          <w:tcPr>
            <w:tcW w:w="886" w:type="dxa"/>
            <w:tcBorders>
              <w:left w:val="nil"/>
              <w:bottom w:val="single" w:sz="6" w:space="0" w:color="000000"/>
              <w:right w:val="single" w:sz="6" w:space="0" w:color="000000"/>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596C71">
        <w:tc>
          <w:tcPr>
            <w:tcW w:w="2447" w:type="dxa"/>
            <w:tcBorders>
              <w:top w:val="nil"/>
              <w:left w:val="nil"/>
              <w:bottom w:val="nil"/>
              <w:right w:val="nil"/>
            </w:tcBorders>
          </w:tcPr>
          <w:p w:rsidR="00F60B5F" w:rsidRPr="00E1323B" w:rsidRDefault="00F60B5F" w:rsidP="002E09B7">
            <w:pPr>
              <w:pStyle w:val="Tabletext"/>
              <w:ind w:left="187" w:hanging="187"/>
              <w:rPr>
                <w:rFonts w:eastAsiaTheme="minorEastAsia"/>
                <w:sz w:val="19"/>
                <w:szCs w:val="19"/>
                <w:vertAlign w:val="superscript"/>
                <w:lang w:eastAsia="en-AU"/>
              </w:rPr>
            </w:pPr>
            <w:r w:rsidRPr="00E1323B">
              <w:rPr>
                <w:rFonts w:eastAsiaTheme="minorEastAsia"/>
                <w:sz w:val="19"/>
                <w:szCs w:val="19"/>
                <w:lang w:eastAsia="en-AU"/>
              </w:rPr>
              <w:t xml:space="preserve">Remeasurement of superannuation defined benefit plans </w:t>
            </w:r>
            <w:r w:rsidRPr="00E1323B">
              <w:rPr>
                <w:rFonts w:eastAsiaTheme="minorEastAsia"/>
                <w:sz w:val="19"/>
                <w:szCs w:val="19"/>
                <w:vertAlign w:val="superscript"/>
                <w:lang w:eastAsia="en-AU"/>
              </w:rPr>
              <w:t>(a)</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7 989.8</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593.2</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1 830.3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560.4</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572.5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583.9</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gain/(loss) on equity investments in other sector entities at proportional share of the carrying amount of net assets</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897.0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62.1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45.6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114.4</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140.5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112.8</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movements in equity</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395.4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( 38.1)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( 400.6)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( 103.4)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142.3</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Items that may be reclassified subsequently to net result</w:t>
            </w:r>
          </w:p>
        </w:tc>
        <w:tc>
          <w:tcPr>
            <w:tcW w:w="885"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gain/(loss) on financial assets at fair value</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84.0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7.9</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24.4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( 8.0)</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0.7</w:t>
            </w:r>
          </w:p>
        </w:tc>
      </w:tr>
      <w:tr w:rsidR="00F60B5F" w:rsidRPr="00E1323B" w:rsidTr="00596C71">
        <w:tc>
          <w:tcPr>
            <w:tcW w:w="2447"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other economic flows – other comprehensive income</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10 162.6</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6 442.4</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4 549.4</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7 430.4</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3 476.7</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2 536.6</w:t>
            </w:r>
          </w:p>
        </w:tc>
      </w:tr>
      <w:tr w:rsidR="00F60B5F" w:rsidRPr="00E1323B" w:rsidTr="00596C71">
        <w:tc>
          <w:tcPr>
            <w:tcW w:w="244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Comprehensive result – total change in net worth</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7 989.3</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5 837.6</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4 036.6</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7 671.8</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4 671.4</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4 347.0</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FISCAL AGGREGATES</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Net operating balance</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(1 699.9)</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( 306.3)</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( 312.9)</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450.7</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1 450.6</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2 063.9</w:t>
            </w:r>
          </w:p>
        </w:tc>
      </w:tr>
      <w:tr w:rsidR="00F60B5F" w:rsidRPr="00E1323B" w:rsidTr="00596C71">
        <w:tc>
          <w:tcPr>
            <w:tcW w:w="2447" w:type="dxa"/>
            <w:tcBorders>
              <w:top w:val="nil"/>
              <w:left w:val="nil"/>
              <w:bottom w:val="single" w:sz="6" w:space="0" w:color="auto"/>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Less: net acquisition of non</w:t>
            </w:r>
            <w:r>
              <w:rPr>
                <w:rFonts w:eastAsiaTheme="minorEastAsia"/>
                <w:sz w:val="19"/>
                <w:szCs w:val="19"/>
                <w:lang w:eastAsia="en-AU"/>
              </w:rPr>
              <w:noBreakHyphen/>
            </w:r>
            <w:r w:rsidRPr="00E1323B">
              <w:rPr>
                <w:rFonts w:eastAsiaTheme="minorEastAsia"/>
                <w:sz w:val="19"/>
                <w:szCs w:val="19"/>
                <w:lang w:eastAsia="en-AU"/>
              </w:rPr>
              <w:t>financial assets from transactions</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8 846.3</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3 770.0</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3 564.0</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3 134.9</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1 587.5</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976.3</w:t>
            </w:r>
          </w:p>
        </w:tc>
      </w:tr>
      <w:tr w:rsidR="00F60B5F" w:rsidRPr="00E1323B" w:rsidTr="00596C71">
        <w:tc>
          <w:tcPr>
            <w:tcW w:w="244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Net lending/(borrowing)</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(10 546.2)</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(4 076.3)</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(3 876.9)</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(2 684.1)</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( 136.9)</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color w:val="000000"/>
                <w:lang w:eastAsia="en-AU"/>
              </w:rPr>
            </w:pPr>
            <w:r w:rsidRPr="00E1323B">
              <w:rPr>
                <w:rFonts w:eastAsiaTheme="minorEastAsia"/>
                <w:b/>
                <w:bCs/>
                <w:sz w:val="19"/>
                <w:szCs w:val="19"/>
                <w:lang w:eastAsia="en-AU"/>
              </w:rPr>
              <w:t>1 087.6</w:t>
            </w:r>
          </w:p>
        </w:tc>
      </w:tr>
    </w:tbl>
    <w:p w:rsidR="00F60B5F" w:rsidRDefault="00F60B5F" w:rsidP="00596C71">
      <w:pPr>
        <w:pStyle w:val="Source"/>
      </w:pPr>
      <w:r w:rsidRPr="00F27D04">
        <w:t>Source: Department of Treasury and Finance</w:t>
      </w:r>
    </w:p>
    <w:p w:rsidR="00F60B5F" w:rsidRPr="00F27D04" w:rsidRDefault="00F60B5F" w:rsidP="00AF1AA5">
      <w:pPr>
        <w:pStyle w:val="Notes"/>
      </w:pPr>
      <w:r>
        <w:t>Note</w:t>
      </w:r>
      <w:r w:rsidRPr="00F27D04">
        <w:t>:</w:t>
      </w:r>
    </w:p>
    <w:p w:rsidR="00F60B5F" w:rsidRPr="00F27D04" w:rsidRDefault="00F60B5F" w:rsidP="00AF1AA5">
      <w:pPr>
        <w:pStyle w:val="Notes"/>
      </w:pPr>
      <w:r w:rsidRPr="00F27D04">
        <w:t>(a)</w:t>
      </w:r>
      <w:r w:rsidRPr="00F27D04">
        <w:tab/>
        <w:t>The 2012</w:t>
      </w:r>
      <w:r>
        <w:noBreakHyphen/>
        <w:t>13 actual comparative figure has</w:t>
      </w:r>
      <w:r w:rsidRPr="00F27D04">
        <w:t xml:space="preserve"> been restated to reflect a re</w:t>
      </w:r>
      <w:r>
        <w:t xml:space="preserve">vised accounting standard, </w:t>
      </w:r>
      <w:r w:rsidRPr="00473868">
        <w:rPr>
          <w:i w:val="0"/>
        </w:rPr>
        <w:t>AASB 119</w:t>
      </w:r>
      <w:r w:rsidRPr="00F27D04">
        <w:t xml:space="preserve"> </w:t>
      </w:r>
      <w:r w:rsidRPr="00FC07A7">
        <w:rPr>
          <w:i w:val="0"/>
        </w:rPr>
        <w:t>Employee Benefits</w:t>
      </w:r>
      <w:r w:rsidRPr="00F27D04">
        <w:t>, which has been issued changing the way defined benefit superannuation expenses are calculated from 2013</w:t>
      </w:r>
      <w:r>
        <w:noBreakHyphen/>
      </w:r>
      <w:r w:rsidRPr="00F27D04">
        <w:t>14.</w:t>
      </w:r>
    </w:p>
    <w:p w:rsidR="00F60B5F" w:rsidRPr="00F27D04" w:rsidRDefault="00F60B5F" w:rsidP="00DF4105">
      <w:pPr>
        <w:pStyle w:val="Tableheading"/>
        <w:rPr>
          <w:lang w:eastAsia="en-AU"/>
        </w:rPr>
      </w:pPr>
      <w:r w:rsidRPr="00F27D04">
        <w:t>Table 6.8:</w:t>
      </w:r>
      <w:r w:rsidRPr="00F27D04">
        <w:tab/>
        <w:t>Non</w:t>
      </w:r>
      <w:r>
        <w:noBreakHyphen/>
      </w:r>
      <w:r w:rsidRPr="00F27D04">
        <w:t xml:space="preserve">financial public sector government </w:t>
      </w:r>
      <w:r w:rsidRPr="00F27D04">
        <w:rPr>
          <w:lang w:eastAsia="en-AU"/>
        </w:rPr>
        <w:t>fiscal result</w:t>
      </w:r>
    </w:p>
    <w:p w:rsidR="00F60B5F" w:rsidRPr="00E1323B" w:rsidRDefault="00F60B5F" w:rsidP="00E1323B">
      <w:pPr>
        <w:pStyle w:val="million"/>
      </w:pPr>
      <w:r w:rsidRPr="00F27D04">
        <w:t>($</w:t>
      </w:r>
      <w:r>
        <w:t> million</w:t>
      </w:r>
      <w:r w:rsidRPr="00F27D04">
        <w:t>)</w:t>
      </w:r>
    </w:p>
    <w:tbl>
      <w:tblPr>
        <w:tblW w:w="7776" w:type="dxa"/>
        <w:tblInd w:w="29" w:type="dxa"/>
        <w:tblLayout w:type="fixed"/>
        <w:tblCellMar>
          <w:left w:w="43" w:type="dxa"/>
          <w:right w:w="43" w:type="dxa"/>
        </w:tblCellMar>
        <w:tblLook w:val="0000" w:firstRow="0" w:lastRow="0" w:firstColumn="0" w:lastColumn="0" w:noHBand="0" w:noVBand="0"/>
      </w:tblPr>
      <w:tblGrid>
        <w:gridCol w:w="2624"/>
        <w:gridCol w:w="180"/>
        <w:gridCol w:w="270"/>
        <w:gridCol w:w="408"/>
        <w:gridCol w:w="859"/>
        <w:gridCol w:w="859"/>
        <w:gridCol w:w="858"/>
        <w:gridCol w:w="859"/>
        <w:gridCol w:w="859"/>
      </w:tblGrid>
      <w:tr w:rsidR="00F60B5F" w:rsidRPr="00E1323B" w:rsidTr="00E1323B">
        <w:tc>
          <w:tcPr>
            <w:tcW w:w="2624" w:type="dxa"/>
            <w:tcBorders>
              <w:top w:val="single" w:sz="6" w:space="0" w:color="000000"/>
              <w:left w:val="single" w:sz="6" w:space="0" w:color="000000"/>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58" w:type="dxa"/>
            <w:gridSpan w:val="3"/>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59"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59"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58"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59"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59" w:type="dxa"/>
            <w:tcBorders>
              <w:top w:val="single" w:sz="6" w:space="0" w:color="000000"/>
              <w:left w:val="nil"/>
              <w:bottom w:val="nil"/>
              <w:right w:val="single" w:sz="6" w:space="0" w:color="000000"/>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E1323B">
        <w:tc>
          <w:tcPr>
            <w:tcW w:w="2624" w:type="dxa"/>
            <w:tcBorders>
              <w:left w:val="single" w:sz="6" w:space="0" w:color="000000"/>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58" w:type="dxa"/>
            <w:gridSpan w:val="3"/>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Actual</w:t>
            </w:r>
          </w:p>
        </w:tc>
        <w:tc>
          <w:tcPr>
            <w:tcW w:w="859" w:type="dxa"/>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Budget</w:t>
            </w:r>
          </w:p>
        </w:tc>
        <w:tc>
          <w:tcPr>
            <w:tcW w:w="859" w:type="dxa"/>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Revised</w:t>
            </w:r>
          </w:p>
        </w:tc>
        <w:tc>
          <w:tcPr>
            <w:tcW w:w="858" w:type="dxa"/>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59" w:type="dxa"/>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59" w:type="dxa"/>
            <w:tcBorders>
              <w:left w:val="nil"/>
              <w:bottom w:val="single" w:sz="6" w:space="0" w:color="000000"/>
              <w:right w:val="single" w:sz="6" w:space="0" w:color="000000"/>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E1323B">
        <w:tc>
          <w:tcPr>
            <w:tcW w:w="3074" w:type="dxa"/>
            <w:gridSpan w:val="3"/>
            <w:tcBorders>
              <w:top w:val="single" w:sz="6" w:space="0" w:color="000000"/>
              <w:left w:val="nil"/>
              <w:bottom w:val="nil"/>
              <w:right w:val="nil"/>
            </w:tcBorders>
          </w:tcPr>
          <w:p w:rsidR="00F60B5F" w:rsidRPr="00E1323B" w:rsidRDefault="00F60B5F" w:rsidP="00E1323B">
            <w:pPr>
              <w:pStyle w:val="Tabletext"/>
              <w:rPr>
                <w:rFonts w:eastAsiaTheme="minorEastAsia"/>
                <w:b/>
                <w:bCs/>
                <w:sz w:val="19"/>
                <w:szCs w:val="22"/>
                <w:lang w:eastAsia="en-AU"/>
              </w:rPr>
            </w:pPr>
            <w:r w:rsidRPr="00E1323B">
              <w:rPr>
                <w:rFonts w:eastAsiaTheme="minorEastAsia"/>
                <w:b/>
                <w:bCs/>
                <w:sz w:val="19"/>
                <w:szCs w:val="22"/>
                <w:lang w:eastAsia="en-AU"/>
              </w:rPr>
              <w:t>GOVERNMENT FISCAL PARAMETER</w:t>
            </w:r>
          </w:p>
        </w:tc>
        <w:tc>
          <w:tcPr>
            <w:tcW w:w="408"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w:t>
            </w:r>
          </w:p>
        </w:tc>
        <w:tc>
          <w:tcPr>
            <w:tcW w:w="859"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w:t>
            </w:r>
          </w:p>
        </w:tc>
        <w:tc>
          <w:tcPr>
            <w:tcW w:w="859"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w:t>
            </w:r>
          </w:p>
        </w:tc>
        <w:tc>
          <w:tcPr>
            <w:tcW w:w="858"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w:t>
            </w:r>
          </w:p>
        </w:tc>
        <w:tc>
          <w:tcPr>
            <w:tcW w:w="859"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w:t>
            </w:r>
          </w:p>
        </w:tc>
        <w:tc>
          <w:tcPr>
            <w:tcW w:w="859"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w:t>
            </w:r>
          </w:p>
        </w:tc>
      </w:tr>
      <w:tr w:rsidR="00F60B5F" w:rsidRPr="00E1323B" w:rsidTr="00E1323B">
        <w:tc>
          <w:tcPr>
            <w:tcW w:w="2624" w:type="dxa"/>
            <w:tcBorders>
              <w:top w:val="nil"/>
              <w:left w:val="nil"/>
              <w:bottom w:val="nil"/>
              <w:right w:val="nil"/>
            </w:tcBorders>
          </w:tcPr>
          <w:p w:rsidR="00F60B5F" w:rsidRPr="00E1323B" w:rsidRDefault="00F60B5F" w:rsidP="00E1323B">
            <w:pPr>
              <w:pStyle w:val="Tabletext"/>
              <w:rPr>
                <w:rFonts w:eastAsiaTheme="minorEastAsia"/>
                <w:b/>
                <w:bCs/>
                <w:sz w:val="19"/>
                <w:szCs w:val="22"/>
                <w:lang w:eastAsia="en-AU"/>
              </w:rPr>
            </w:pPr>
            <w:r w:rsidRPr="00E1323B">
              <w:rPr>
                <w:rFonts w:eastAsiaTheme="minorEastAsia"/>
                <w:b/>
                <w:bCs/>
                <w:sz w:val="19"/>
                <w:szCs w:val="22"/>
                <w:lang w:eastAsia="en-AU"/>
              </w:rPr>
              <w:t>Net operating balance</w:t>
            </w:r>
          </w:p>
        </w:tc>
        <w:tc>
          <w:tcPr>
            <w:tcW w:w="858" w:type="dxa"/>
            <w:gridSpan w:val="3"/>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(1 699.9)</w:t>
            </w:r>
          </w:p>
        </w:tc>
        <w:tc>
          <w:tcPr>
            <w:tcW w:w="859"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( 306.3)</w:t>
            </w:r>
          </w:p>
        </w:tc>
        <w:tc>
          <w:tcPr>
            <w:tcW w:w="859"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( 312.9)</w:t>
            </w:r>
          </w:p>
        </w:tc>
        <w:tc>
          <w:tcPr>
            <w:tcW w:w="858"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450.7</w:t>
            </w:r>
          </w:p>
        </w:tc>
        <w:tc>
          <w:tcPr>
            <w:tcW w:w="859"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1 450.6</w:t>
            </w:r>
          </w:p>
        </w:tc>
        <w:tc>
          <w:tcPr>
            <w:tcW w:w="859"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2 063.9</w:t>
            </w:r>
          </w:p>
        </w:tc>
      </w:tr>
      <w:tr w:rsidR="00F60B5F" w:rsidRPr="00E1323B" w:rsidTr="002E09B7">
        <w:tc>
          <w:tcPr>
            <w:tcW w:w="2804" w:type="dxa"/>
            <w:gridSpan w:val="2"/>
            <w:tcBorders>
              <w:top w:val="nil"/>
              <w:left w:val="nil"/>
              <w:bottom w:val="single" w:sz="6" w:space="0" w:color="auto"/>
              <w:right w:val="nil"/>
            </w:tcBorders>
          </w:tcPr>
          <w:p w:rsidR="00F60B5F" w:rsidRPr="00E1323B" w:rsidRDefault="00F60B5F" w:rsidP="00E1323B">
            <w:pPr>
              <w:pStyle w:val="Tabletext"/>
              <w:rPr>
                <w:rFonts w:eastAsiaTheme="minorEastAsia"/>
                <w:sz w:val="19"/>
                <w:szCs w:val="22"/>
                <w:lang w:eastAsia="en-AU"/>
              </w:rPr>
            </w:pPr>
            <w:r w:rsidRPr="00E1323B">
              <w:rPr>
                <w:rFonts w:eastAsiaTheme="minorEastAsia"/>
                <w:sz w:val="19"/>
                <w:szCs w:val="22"/>
                <w:lang w:eastAsia="en-AU"/>
              </w:rPr>
              <w:t>Plus: Expected return on superannuation assets in excess of AASB 119 discount rate taken to other comprehensive income</w:t>
            </w:r>
          </w:p>
        </w:tc>
        <w:tc>
          <w:tcPr>
            <w:tcW w:w="678" w:type="dxa"/>
            <w:gridSpan w:val="2"/>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633.0</w:t>
            </w:r>
          </w:p>
        </w:tc>
        <w:tc>
          <w:tcPr>
            <w:tcW w:w="859"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593.2</w:t>
            </w:r>
          </w:p>
        </w:tc>
        <w:tc>
          <w:tcPr>
            <w:tcW w:w="859"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541.2</w:t>
            </w:r>
          </w:p>
        </w:tc>
        <w:tc>
          <w:tcPr>
            <w:tcW w:w="858"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564.7</w:t>
            </w:r>
          </w:p>
        </w:tc>
        <w:tc>
          <w:tcPr>
            <w:tcW w:w="859"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576.8</w:t>
            </w:r>
          </w:p>
        </w:tc>
        <w:tc>
          <w:tcPr>
            <w:tcW w:w="859"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588.2</w:t>
            </w:r>
          </w:p>
        </w:tc>
      </w:tr>
      <w:tr w:rsidR="00F60B5F" w:rsidRPr="00E1323B" w:rsidTr="00E1323B">
        <w:tc>
          <w:tcPr>
            <w:tcW w:w="2624"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22"/>
                <w:lang w:eastAsia="en-AU"/>
              </w:rPr>
            </w:pPr>
            <w:r w:rsidRPr="00E1323B">
              <w:rPr>
                <w:rFonts w:eastAsiaTheme="minorEastAsia"/>
                <w:b/>
                <w:bCs/>
                <w:sz w:val="19"/>
                <w:szCs w:val="22"/>
                <w:lang w:eastAsia="en-AU"/>
              </w:rPr>
              <w:t>Government fiscal result</w:t>
            </w:r>
          </w:p>
        </w:tc>
        <w:tc>
          <w:tcPr>
            <w:tcW w:w="858" w:type="dxa"/>
            <w:gridSpan w:val="3"/>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(1 066.9)</w:t>
            </w:r>
          </w:p>
        </w:tc>
        <w:tc>
          <w:tcPr>
            <w:tcW w:w="85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286.8</w:t>
            </w:r>
          </w:p>
        </w:tc>
        <w:tc>
          <w:tcPr>
            <w:tcW w:w="85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228.2</w:t>
            </w:r>
          </w:p>
        </w:tc>
        <w:tc>
          <w:tcPr>
            <w:tcW w:w="858"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1 015.4</w:t>
            </w:r>
          </w:p>
        </w:tc>
        <w:tc>
          <w:tcPr>
            <w:tcW w:w="85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2 027.3</w:t>
            </w:r>
          </w:p>
        </w:tc>
        <w:tc>
          <w:tcPr>
            <w:tcW w:w="859"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2 652.1</w:t>
            </w:r>
          </w:p>
        </w:tc>
      </w:tr>
    </w:tbl>
    <w:p w:rsidR="00F60B5F" w:rsidRDefault="00F60B5F" w:rsidP="00596C71">
      <w:pPr>
        <w:pStyle w:val="Source"/>
      </w:pPr>
      <w:r w:rsidRPr="00F27D04">
        <w:t>Source: Department of Treasury and Finance</w:t>
      </w:r>
    </w:p>
    <w:p w:rsidR="00F60B5F" w:rsidRPr="00F27D04" w:rsidRDefault="00F60B5F" w:rsidP="00250CAA">
      <w:pPr>
        <w:pStyle w:val="Tableheading"/>
      </w:pPr>
      <w:r w:rsidRPr="00F27D04">
        <w:t>Table 6.9:</w:t>
      </w:r>
      <w:r w:rsidRPr="00F27D04">
        <w:tab/>
        <w:t>Non</w:t>
      </w:r>
      <w:r>
        <w:noBreakHyphen/>
      </w:r>
      <w:r w:rsidRPr="00F27D04">
        <w:t>financial public sector balance sheet</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087"/>
        <w:gridCol w:w="90"/>
        <w:gridCol w:w="90"/>
        <w:gridCol w:w="765"/>
        <w:gridCol w:w="946"/>
        <w:gridCol w:w="945"/>
        <w:gridCol w:w="946"/>
        <w:gridCol w:w="945"/>
        <w:gridCol w:w="946"/>
      </w:tblGrid>
      <w:tr w:rsidR="00F60B5F" w:rsidRPr="00E1323B" w:rsidTr="00E1323B">
        <w:tc>
          <w:tcPr>
            <w:tcW w:w="2087" w:type="dxa"/>
            <w:tcBorders>
              <w:top w:val="single" w:sz="6" w:space="0" w:color="000000"/>
              <w:left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945" w:type="dxa"/>
            <w:gridSpan w:val="3"/>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2012</w:t>
            </w:r>
            <w:r>
              <w:rPr>
                <w:rFonts w:eastAsiaTheme="minorEastAsia"/>
                <w:iCs/>
                <w:color w:val="FFFFFF"/>
                <w:lang w:eastAsia="en-AU"/>
              </w:rPr>
              <w:noBreakHyphen/>
            </w:r>
            <w:r w:rsidRPr="00E1323B">
              <w:rPr>
                <w:rFonts w:eastAsiaTheme="minorEastAsia"/>
                <w:iCs/>
                <w:color w:val="FFFFFF"/>
                <w:lang w:eastAsia="en-AU"/>
              </w:rPr>
              <w:t>13</w:t>
            </w:r>
          </w:p>
        </w:tc>
        <w:tc>
          <w:tcPr>
            <w:tcW w:w="946"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945"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946"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2014</w:t>
            </w:r>
            <w:r>
              <w:rPr>
                <w:rFonts w:eastAsiaTheme="minorEastAsia"/>
                <w:iCs/>
                <w:color w:val="FFFFFF"/>
                <w:lang w:eastAsia="en-AU"/>
              </w:rPr>
              <w:noBreakHyphen/>
            </w:r>
            <w:r w:rsidRPr="00E1323B">
              <w:rPr>
                <w:rFonts w:eastAsiaTheme="minorEastAsia"/>
                <w:iCs/>
                <w:color w:val="FFFFFF"/>
                <w:lang w:eastAsia="en-AU"/>
              </w:rPr>
              <w:t>15</w:t>
            </w:r>
          </w:p>
        </w:tc>
        <w:tc>
          <w:tcPr>
            <w:tcW w:w="945" w:type="dxa"/>
            <w:tcBorders>
              <w:top w:val="single" w:sz="6" w:space="0" w:color="000000"/>
              <w:left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2015</w:t>
            </w:r>
            <w:r>
              <w:rPr>
                <w:rFonts w:eastAsiaTheme="minorEastAsia"/>
                <w:iCs/>
                <w:color w:val="FFFFFF"/>
                <w:lang w:eastAsia="en-AU"/>
              </w:rPr>
              <w:noBreakHyphen/>
            </w:r>
            <w:r w:rsidRPr="00E1323B">
              <w:rPr>
                <w:rFonts w:eastAsiaTheme="minorEastAsia"/>
                <w:iCs/>
                <w:color w:val="FFFFFF"/>
                <w:lang w:eastAsia="en-AU"/>
              </w:rPr>
              <w:t>16</w:t>
            </w:r>
          </w:p>
        </w:tc>
        <w:tc>
          <w:tcPr>
            <w:tcW w:w="946" w:type="dxa"/>
            <w:tcBorders>
              <w:top w:val="single" w:sz="6" w:space="0" w:color="000000"/>
              <w:left w:val="nil"/>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2016</w:t>
            </w:r>
            <w:r>
              <w:rPr>
                <w:rFonts w:eastAsiaTheme="minorEastAsia"/>
                <w:iCs/>
                <w:color w:val="FFFFFF"/>
                <w:lang w:eastAsia="en-AU"/>
              </w:rPr>
              <w:noBreakHyphen/>
            </w:r>
            <w:r w:rsidRPr="00E1323B">
              <w:rPr>
                <w:rFonts w:eastAsiaTheme="minorEastAsia"/>
                <w:iCs/>
                <w:color w:val="FFFFFF"/>
                <w:lang w:eastAsia="en-AU"/>
              </w:rPr>
              <w:t>17</w:t>
            </w:r>
          </w:p>
        </w:tc>
      </w:tr>
      <w:tr w:rsidR="00F60B5F" w:rsidRPr="00E1323B" w:rsidTr="00E1323B">
        <w:tc>
          <w:tcPr>
            <w:tcW w:w="2087"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b/>
                <w:bCs/>
                <w:color w:val="FFFFFF"/>
                <w:lang w:eastAsia="en-AU"/>
              </w:rPr>
            </w:pPr>
            <w:r w:rsidRPr="00E1323B">
              <w:rPr>
                <w:rFonts w:eastAsiaTheme="minorEastAsia"/>
                <w:b/>
                <w:bCs/>
                <w:color w:val="FFFFFF"/>
                <w:lang w:eastAsia="en-AU"/>
              </w:rPr>
              <w:t xml:space="preserve"> </w:t>
            </w:r>
          </w:p>
        </w:tc>
        <w:tc>
          <w:tcPr>
            <w:tcW w:w="945" w:type="dxa"/>
            <w:gridSpan w:val="3"/>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iCs/>
                <w:color w:val="FFFFFF"/>
                <w:lang w:eastAsia="en-AU"/>
              </w:rPr>
            </w:pPr>
            <w:r w:rsidRPr="00E1323B">
              <w:rPr>
                <w:rFonts w:eastAsiaTheme="minorEastAsia"/>
                <w:b/>
                <w:iCs/>
                <w:color w:val="FFFFFF"/>
                <w:lang w:eastAsia="en-AU"/>
              </w:rPr>
              <w:t>Actual</w:t>
            </w:r>
          </w:p>
        </w:tc>
        <w:tc>
          <w:tcPr>
            <w:tcW w:w="94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iCs/>
                <w:color w:val="FFFFFF"/>
                <w:lang w:eastAsia="en-AU"/>
              </w:rPr>
            </w:pPr>
            <w:r w:rsidRPr="00E1323B">
              <w:rPr>
                <w:rFonts w:eastAsiaTheme="minorEastAsia"/>
                <w:b/>
                <w:iCs/>
                <w:color w:val="FFFFFF"/>
                <w:lang w:eastAsia="en-AU"/>
              </w:rPr>
              <w:t>Budget</w:t>
            </w:r>
          </w:p>
        </w:tc>
        <w:tc>
          <w:tcPr>
            <w:tcW w:w="94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iCs/>
                <w:color w:val="FFFFFF"/>
                <w:lang w:eastAsia="en-AU"/>
              </w:rPr>
            </w:pPr>
            <w:r w:rsidRPr="00E1323B">
              <w:rPr>
                <w:rFonts w:eastAsiaTheme="minorEastAsia"/>
                <w:b/>
                <w:iCs/>
                <w:color w:val="FFFFFF"/>
                <w:lang w:eastAsia="en-AU"/>
              </w:rPr>
              <w:t>Revised</w:t>
            </w:r>
          </w:p>
        </w:tc>
        <w:tc>
          <w:tcPr>
            <w:tcW w:w="94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iCs/>
                <w:color w:val="FFFFFF"/>
                <w:lang w:eastAsia="en-AU"/>
              </w:rPr>
            </w:pPr>
            <w:r w:rsidRPr="00E1323B">
              <w:rPr>
                <w:rFonts w:eastAsiaTheme="minorEastAsia"/>
                <w:b/>
                <w:iCs/>
                <w:color w:val="FFFFFF"/>
                <w:lang w:eastAsia="en-AU"/>
              </w:rPr>
              <w:t>Estimate</w:t>
            </w:r>
          </w:p>
        </w:tc>
        <w:tc>
          <w:tcPr>
            <w:tcW w:w="94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iCs/>
                <w:color w:val="FFFFFF"/>
                <w:lang w:eastAsia="en-AU"/>
              </w:rPr>
            </w:pPr>
            <w:r w:rsidRPr="00E1323B">
              <w:rPr>
                <w:rFonts w:eastAsiaTheme="minorEastAsia"/>
                <w:b/>
                <w:iCs/>
                <w:color w:val="FFFFFF"/>
                <w:lang w:eastAsia="en-AU"/>
              </w:rPr>
              <w:t>Estimate</w:t>
            </w:r>
          </w:p>
        </w:tc>
        <w:tc>
          <w:tcPr>
            <w:tcW w:w="946"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b/>
                <w:iCs/>
                <w:color w:val="FFFFFF"/>
                <w:lang w:eastAsia="en-AU"/>
              </w:rPr>
            </w:pPr>
            <w:r w:rsidRPr="00E1323B">
              <w:rPr>
                <w:rFonts w:eastAsiaTheme="minorEastAsia"/>
                <w:b/>
                <w:iCs/>
                <w:color w:val="FFFFFF"/>
                <w:lang w:eastAsia="en-AU"/>
              </w:rPr>
              <w:t>Estimate</w:t>
            </w:r>
          </w:p>
        </w:tc>
      </w:tr>
      <w:tr w:rsidR="00F60B5F" w:rsidRPr="00E1323B" w:rsidTr="00E1323B">
        <w:tc>
          <w:tcPr>
            <w:tcW w:w="2087"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Assets</w:t>
            </w:r>
          </w:p>
        </w:tc>
        <w:tc>
          <w:tcPr>
            <w:tcW w:w="945" w:type="dxa"/>
            <w:gridSpan w:val="3"/>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946"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45"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46"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45"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46"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Financial assets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b/>
                <w:i/>
                <w:iCs/>
                <w:sz w:val="19"/>
                <w:lang w:eastAsia="en-AU"/>
              </w:rPr>
            </w:pPr>
            <w:r w:rsidRPr="00E1323B">
              <w:rPr>
                <w:rFonts w:eastAsiaTheme="minorEastAsia"/>
                <w:b/>
                <w:i/>
                <w:iCs/>
                <w:sz w:val="19"/>
                <w:lang w:eastAsia="en-AU"/>
              </w:rPr>
              <w:t xml:space="preserve"> </w:t>
            </w: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45"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45"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Cash and deposits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4 759.9</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5 001.4</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4 648.4</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4 948.4</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5 274.3</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5 769.0</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Advances paid</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72.1</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69.7</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82.5</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79.8</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77.5</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75.5</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Receivables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4 985.3</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4 959.8</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5 011.3</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4 978.4</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4 834.1</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4 863.9</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Investments, loans and placements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4 439.6</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4 468.2</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4 266.3</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4 314.5</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4 425.4</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4 507.4</w:t>
            </w:r>
          </w:p>
        </w:tc>
      </w:tr>
      <w:tr w:rsidR="00F60B5F" w:rsidRPr="00E1323B" w:rsidTr="00E1323B">
        <w:tc>
          <w:tcPr>
            <w:tcW w:w="2177" w:type="dxa"/>
            <w:gridSpan w:val="2"/>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Investments accounted for using equity method</w:t>
            </w:r>
          </w:p>
        </w:tc>
        <w:tc>
          <w:tcPr>
            <w:tcW w:w="855" w:type="dxa"/>
            <w:gridSpan w:val="2"/>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1 666.1</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1 666.1</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1 666.1</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1 666.1</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1 666.1</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1 666.1</w:t>
            </w:r>
          </w:p>
        </w:tc>
      </w:tr>
      <w:tr w:rsidR="00F60B5F" w:rsidRPr="00E1323B" w:rsidTr="00E1323B">
        <w:tc>
          <w:tcPr>
            <w:tcW w:w="2087"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Investments in other sector entities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1 949.3</w:t>
            </w:r>
          </w:p>
        </w:tc>
        <w:tc>
          <w:tcPr>
            <w:tcW w:w="94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2 032.6</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2 016.2</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2 147.2</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1 939.6</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2 069.0</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financial assets</w:t>
            </w:r>
          </w:p>
        </w:tc>
        <w:tc>
          <w:tcPr>
            <w:tcW w:w="945" w:type="dxa"/>
            <w:gridSpan w:val="3"/>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17 872.1</w:t>
            </w:r>
          </w:p>
        </w:tc>
        <w:tc>
          <w:tcPr>
            <w:tcW w:w="94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18 197.8</w:t>
            </w:r>
          </w:p>
        </w:tc>
        <w:tc>
          <w:tcPr>
            <w:tcW w:w="945"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17 690.8</w:t>
            </w:r>
          </w:p>
        </w:tc>
        <w:tc>
          <w:tcPr>
            <w:tcW w:w="94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18 134.4</w:t>
            </w:r>
          </w:p>
        </w:tc>
        <w:tc>
          <w:tcPr>
            <w:tcW w:w="945"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18 217.0</w:t>
            </w:r>
          </w:p>
        </w:tc>
        <w:tc>
          <w:tcPr>
            <w:tcW w:w="94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18 950.9</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Non</w:t>
            </w:r>
            <w:r>
              <w:rPr>
                <w:rFonts w:eastAsiaTheme="minorEastAsia"/>
                <w:b/>
                <w:bCs/>
                <w:sz w:val="19"/>
                <w:lang w:eastAsia="en-AU"/>
              </w:rPr>
              <w:noBreakHyphen/>
            </w:r>
            <w:r w:rsidRPr="00E1323B">
              <w:rPr>
                <w:rFonts w:eastAsiaTheme="minorEastAsia"/>
                <w:b/>
                <w:bCs/>
                <w:sz w:val="19"/>
                <w:lang w:eastAsia="en-AU"/>
              </w:rPr>
              <w:t>financial assets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5"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5"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Inventories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871.0</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859.3</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832.7</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701.5</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611.8</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536.7</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Non</w:t>
            </w:r>
            <w:r>
              <w:rPr>
                <w:rFonts w:eastAsiaTheme="minorEastAsia"/>
                <w:sz w:val="19"/>
                <w:lang w:eastAsia="en-AU"/>
              </w:rPr>
              <w:noBreakHyphen/>
            </w:r>
            <w:r w:rsidRPr="00E1323B">
              <w:rPr>
                <w:rFonts w:eastAsiaTheme="minorEastAsia"/>
                <w:sz w:val="19"/>
                <w:lang w:eastAsia="en-AU"/>
              </w:rPr>
              <w:t>financial assets held for sale</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146.6</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139.7</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107.2</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100.6</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93.9</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87.3</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Land, buildings, infrastructure, plant and equipment</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189 409.2</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199 123.2</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195 728.8</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205 622.5</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210 180.2</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213 212.6</w:t>
            </w:r>
          </w:p>
        </w:tc>
      </w:tr>
      <w:tr w:rsidR="00F60B5F" w:rsidRPr="00E1323B" w:rsidTr="00E1323B">
        <w:tc>
          <w:tcPr>
            <w:tcW w:w="2267" w:type="dxa"/>
            <w:gridSpan w:val="3"/>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non</w:t>
            </w:r>
            <w:r>
              <w:rPr>
                <w:rFonts w:eastAsiaTheme="minorEastAsia"/>
                <w:sz w:val="19"/>
                <w:lang w:eastAsia="en-AU"/>
              </w:rPr>
              <w:noBreakHyphen/>
            </w:r>
            <w:r w:rsidRPr="00E1323B">
              <w:rPr>
                <w:rFonts w:eastAsiaTheme="minorEastAsia"/>
                <w:sz w:val="19"/>
                <w:lang w:eastAsia="en-AU"/>
              </w:rPr>
              <w:t>financial assets</w:t>
            </w:r>
          </w:p>
        </w:tc>
        <w:tc>
          <w:tcPr>
            <w:tcW w:w="76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1 844.8</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1 837.2</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1 855.4</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1 822.2</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1 752.7</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1 723.3</w:t>
            </w:r>
          </w:p>
        </w:tc>
      </w:tr>
      <w:tr w:rsidR="00F60B5F" w:rsidRPr="00E1323B" w:rsidTr="00E1323B">
        <w:tc>
          <w:tcPr>
            <w:tcW w:w="2087"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non</w:t>
            </w:r>
            <w:r>
              <w:rPr>
                <w:rFonts w:eastAsiaTheme="minorEastAsia"/>
                <w:b/>
                <w:bCs/>
                <w:sz w:val="19"/>
                <w:lang w:eastAsia="en-AU"/>
              </w:rPr>
              <w:noBreakHyphen/>
            </w:r>
            <w:r w:rsidRPr="00E1323B">
              <w:rPr>
                <w:rFonts w:eastAsiaTheme="minorEastAsia"/>
                <w:b/>
                <w:bCs/>
                <w:sz w:val="19"/>
                <w:lang w:eastAsia="en-AU"/>
              </w:rPr>
              <w:t>financial assets</w:t>
            </w:r>
          </w:p>
        </w:tc>
        <w:tc>
          <w:tcPr>
            <w:tcW w:w="945"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192 271.6</w:t>
            </w:r>
          </w:p>
        </w:tc>
        <w:tc>
          <w:tcPr>
            <w:tcW w:w="94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201 959.5</w:t>
            </w:r>
          </w:p>
        </w:tc>
        <w:tc>
          <w:tcPr>
            <w:tcW w:w="94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198 524.1</w:t>
            </w:r>
          </w:p>
        </w:tc>
        <w:tc>
          <w:tcPr>
            <w:tcW w:w="94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208 246.8</w:t>
            </w:r>
          </w:p>
        </w:tc>
        <w:tc>
          <w:tcPr>
            <w:tcW w:w="94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212 638.7</w:t>
            </w:r>
          </w:p>
        </w:tc>
        <w:tc>
          <w:tcPr>
            <w:tcW w:w="94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215 560.0</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assets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210 143.7</w:t>
            </w:r>
          </w:p>
        </w:tc>
        <w:tc>
          <w:tcPr>
            <w:tcW w:w="946"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220 157.3</w:t>
            </w:r>
          </w:p>
        </w:tc>
        <w:tc>
          <w:tcPr>
            <w:tcW w:w="945"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216 214.8</w:t>
            </w:r>
          </w:p>
        </w:tc>
        <w:tc>
          <w:tcPr>
            <w:tcW w:w="946"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226 381.2</w:t>
            </w:r>
          </w:p>
        </w:tc>
        <w:tc>
          <w:tcPr>
            <w:tcW w:w="945"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230 855.6</w:t>
            </w:r>
          </w:p>
        </w:tc>
        <w:tc>
          <w:tcPr>
            <w:tcW w:w="946"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234 510.9</w:t>
            </w:r>
          </w:p>
        </w:tc>
      </w:tr>
      <w:tr w:rsidR="00F60B5F" w:rsidRPr="00E1323B" w:rsidTr="00E1323B">
        <w:trPr>
          <w:trHeight w:hRule="exact" w:val="120"/>
        </w:trPr>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 </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Liabilities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5"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5"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Deposits held and advances received</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583.4</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589.5</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569.1</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571.0</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571.3</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572.5</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Payables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6 604.9</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6 573.2</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6 376.5</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5 983.9</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5 800.4</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5 661.4</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Borrowings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43 272.9</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47 594.1</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47 073.6</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50 203.0</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50 453.5</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50 259.2</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Employee benefits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5 535.2</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5 745.5</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5 730.5</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5 938.4</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6 160.7</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6 384.9</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Superannuation</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25 225.4</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25 012.8</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23 651.3</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23 280.4</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22 876.0</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22 302.0</w:t>
            </w:r>
          </w:p>
        </w:tc>
      </w:tr>
      <w:tr w:rsidR="00F60B5F" w:rsidRPr="00E1323B" w:rsidTr="00E1323B">
        <w:tc>
          <w:tcPr>
            <w:tcW w:w="2087"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provisions</w:t>
            </w:r>
          </w:p>
        </w:tc>
        <w:tc>
          <w:tcPr>
            <w:tcW w:w="945"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1 104.5</w:t>
            </w:r>
          </w:p>
        </w:tc>
        <w:tc>
          <w:tcPr>
            <w:tcW w:w="94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987.2</w:t>
            </w:r>
          </w:p>
        </w:tc>
        <w:tc>
          <w:tcPr>
            <w:tcW w:w="945" w:type="dxa"/>
            <w:tcBorders>
              <w:top w:val="nil"/>
              <w:left w:val="nil"/>
              <w:bottom w:val="single" w:sz="6" w:space="0" w:color="auto"/>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959.8</w:t>
            </w:r>
          </w:p>
        </w:tc>
        <w:tc>
          <w:tcPr>
            <w:tcW w:w="946" w:type="dxa"/>
            <w:tcBorders>
              <w:top w:val="nil"/>
              <w:left w:val="nil"/>
              <w:bottom w:val="single" w:sz="6" w:space="0" w:color="auto"/>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878.7</w:t>
            </w:r>
          </w:p>
        </w:tc>
        <w:tc>
          <w:tcPr>
            <w:tcW w:w="945" w:type="dxa"/>
            <w:tcBorders>
              <w:top w:val="nil"/>
              <w:left w:val="nil"/>
              <w:bottom w:val="single" w:sz="6" w:space="0" w:color="auto"/>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796.6</w:t>
            </w:r>
          </w:p>
        </w:tc>
        <w:tc>
          <w:tcPr>
            <w:tcW w:w="946" w:type="dxa"/>
            <w:tcBorders>
              <w:top w:val="nil"/>
              <w:left w:val="nil"/>
              <w:bottom w:val="single" w:sz="6" w:space="0" w:color="auto"/>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786.7</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liabilities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82 326.4</w:t>
            </w:r>
          </w:p>
        </w:tc>
        <w:tc>
          <w:tcPr>
            <w:tcW w:w="946"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86 502.3</w:t>
            </w:r>
          </w:p>
        </w:tc>
        <w:tc>
          <w:tcPr>
            <w:tcW w:w="945"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84 360.9</w:t>
            </w:r>
          </w:p>
        </w:tc>
        <w:tc>
          <w:tcPr>
            <w:tcW w:w="946"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86 855.5</w:t>
            </w:r>
          </w:p>
        </w:tc>
        <w:tc>
          <w:tcPr>
            <w:tcW w:w="945"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86 658.4</w:t>
            </w:r>
          </w:p>
        </w:tc>
        <w:tc>
          <w:tcPr>
            <w:tcW w:w="946"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85 966.7</w:t>
            </w:r>
          </w:p>
        </w:tc>
      </w:tr>
      <w:tr w:rsidR="00F60B5F" w:rsidRPr="00E1323B" w:rsidTr="00E1323B">
        <w:tc>
          <w:tcPr>
            <w:tcW w:w="2087" w:type="dxa"/>
            <w:tcBorders>
              <w:top w:val="nil"/>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assets</w:t>
            </w:r>
          </w:p>
        </w:tc>
        <w:tc>
          <w:tcPr>
            <w:tcW w:w="945" w:type="dxa"/>
            <w:gridSpan w:val="3"/>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127 817.4</w:t>
            </w:r>
          </w:p>
        </w:tc>
        <w:tc>
          <w:tcPr>
            <w:tcW w:w="946"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133 655.0</w:t>
            </w:r>
          </w:p>
        </w:tc>
        <w:tc>
          <w:tcPr>
            <w:tcW w:w="945"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131 854.0</w:t>
            </w:r>
          </w:p>
        </w:tc>
        <w:tc>
          <w:tcPr>
            <w:tcW w:w="946"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139 525.8</w:t>
            </w:r>
          </w:p>
        </w:tc>
        <w:tc>
          <w:tcPr>
            <w:tcW w:w="945"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144 197.2</w:t>
            </w:r>
          </w:p>
        </w:tc>
        <w:tc>
          <w:tcPr>
            <w:tcW w:w="946"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148 544.2</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sz w:val="19"/>
                <w:lang w:eastAsia="en-AU"/>
              </w:rPr>
              <w:t xml:space="preserve">Accumulated surplus </w:t>
            </w:r>
            <w:r w:rsidRPr="00E1323B">
              <w:rPr>
                <w:rFonts w:eastAsiaTheme="minorEastAsia" w:cs="Calibri"/>
                <w:color w:val="000000"/>
                <w:vertAlign w:val="superscript"/>
                <w:lang w:eastAsia="en-AU"/>
              </w:rPr>
              <w:t>(a)</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46 802.6</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48 523.4</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48 056.1</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48 425.9</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50 039.9</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52 526.1</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sz w:val="19"/>
                <w:lang w:eastAsia="en-AU"/>
              </w:rPr>
              <w:t xml:space="preserve">Reserves </w:t>
            </w:r>
            <w:r w:rsidRPr="00E1323B">
              <w:rPr>
                <w:rFonts w:eastAsiaTheme="minorEastAsia" w:cs="Calibri"/>
                <w:color w:val="000000"/>
                <w:vertAlign w:val="superscript"/>
                <w:lang w:eastAsia="en-AU"/>
              </w:rPr>
              <w:t>(a)</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80 964.8</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85 081.6</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83 747.9</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91 049.8</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94 107.3</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95 968.1</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Non</w:t>
            </w:r>
            <w:r>
              <w:rPr>
                <w:rFonts w:eastAsiaTheme="minorEastAsia"/>
                <w:sz w:val="19"/>
                <w:lang w:eastAsia="en-AU"/>
              </w:rPr>
              <w:noBreakHyphen/>
            </w:r>
            <w:r w:rsidRPr="00E1323B">
              <w:rPr>
                <w:rFonts w:eastAsiaTheme="minorEastAsia"/>
                <w:sz w:val="19"/>
                <w:lang w:eastAsia="en-AU"/>
              </w:rPr>
              <w:t>controlling interest</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50.0</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50.0</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50.0</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50.0</w:t>
            </w:r>
          </w:p>
        </w:tc>
        <w:tc>
          <w:tcPr>
            <w:tcW w:w="945"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50.0</w:t>
            </w:r>
          </w:p>
        </w:tc>
        <w:tc>
          <w:tcPr>
            <w:tcW w:w="946"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50.0</w:t>
            </w:r>
          </w:p>
        </w:tc>
      </w:tr>
      <w:tr w:rsidR="00F60B5F" w:rsidRPr="00E1323B" w:rsidTr="00E1323B">
        <w:tc>
          <w:tcPr>
            <w:tcW w:w="208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worth</w:t>
            </w:r>
          </w:p>
        </w:tc>
        <w:tc>
          <w:tcPr>
            <w:tcW w:w="945" w:type="dxa"/>
            <w:gridSpan w:val="3"/>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127 817.4</w:t>
            </w:r>
          </w:p>
        </w:tc>
        <w:tc>
          <w:tcPr>
            <w:tcW w:w="94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133 655.0</w:t>
            </w:r>
          </w:p>
        </w:tc>
        <w:tc>
          <w:tcPr>
            <w:tcW w:w="94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131 854.0</w:t>
            </w:r>
          </w:p>
        </w:tc>
        <w:tc>
          <w:tcPr>
            <w:tcW w:w="94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139 525.8</w:t>
            </w:r>
          </w:p>
        </w:tc>
        <w:tc>
          <w:tcPr>
            <w:tcW w:w="94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144 197.2</w:t>
            </w:r>
          </w:p>
        </w:tc>
        <w:tc>
          <w:tcPr>
            <w:tcW w:w="94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148 544.2</w:t>
            </w: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FISCAL AGGREGATES</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5"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5"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94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r>
      <w:tr w:rsidR="00F60B5F" w:rsidRPr="00E1323B" w:rsidTr="00E1323B">
        <w:tc>
          <w:tcPr>
            <w:tcW w:w="208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Net financial worth </w:t>
            </w:r>
          </w:p>
        </w:tc>
        <w:tc>
          <w:tcPr>
            <w:tcW w:w="945"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(64 454.2)</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(68 304.5)</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(66 670.1)</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(68 721.1)</w:t>
            </w:r>
          </w:p>
        </w:tc>
        <w:tc>
          <w:tcPr>
            <w:tcW w:w="94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(68 441.4)</w:t>
            </w:r>
          </w:p>
        </w:tc>
        <w:tc>
          <w:tcPr>
            <w:tcW w:w="94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(67 015.7)</w:t>
            </w:r>
          </w:p>
        </w:tc>
      </w:tr>
      <w:tr w:rsidR="00F60B5F" w:rsidRPr="00E1323B" w:rsidTr="00E1323B">
        <w:tc>
          <w:tcPr>
            <w:tcW w:w="2087" w:type="dxa"/>
            <w:tcBorders>
              <w:top w:val="nil"/>
              <w:left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financial liabilities</w:t>
            </w:r>
          </w:p>
        </w:tc>
        <w:tc>
          <w:tcPr>
            <w:tcW w:w="945" w:type="dxa"/>
            <w:gridSpan w:val="3"/>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66 403.5</w:t>
            </w:r>
          </w:p>
        </w:tc>
        <w:tc>
          <w:tcPr>
            <w:tcW w:w="946"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70 337.1</w:t>
            </w:r>
          </w:p>
        </w:tc>
        <w:tc>
          <w:tcPr>
            <w:tcW w:w="945"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68 686.3</w:t>
            </w:r>
          </w:p>
        </w:tc>
        <w:tc>
          <w:tcPr>
            <w:tcW w:w="946"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70 868.3</w:t>
            </w:r>
          </w:p>
        </w:tc>
        <w:tc>
          <w:tcPr>
            <w:tcW w:w="945"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70 381.1</w:t>
            </w:r>
          </w:p>
        </w:tc>
        <w:tc>
          <w:tcPr>
            <w:tcW w:w="946" w:type="dxa"/>
            <w:tcBorders>
              <w:top w:val="nil"/>
              <w:left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69 084.8</w:t>
            </w:r>
          </w:p>
        </w:tc>
      </w:tr>
      <w:tr w:rsidR="00F60B5F" w:rsidRPr="00E1323B" w:rsidTr="00E1323B">
        <w:tc>
          <w:tcPr>
            <w:tcW w:w="2087" w:type="dxa"/>
            <w:tcBorders>
              <w:top w:val="nil"/>
              <w:left w:val="nil"/>
              <w:bottom w:val="single" w:sz="12" w:space="0" w:color="000000"/>
              <w:right w:val="nil"/>
            </w:tcBorders>
            <w:shd w:val="clear" w:color="auto"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debt</w:t>
            </w:r>
          </w:p>
        </w:tc>
        <w:tc>
          <w:tcPr>
            <w:tcW w:w="945" w:type="dxa"/>
            <w:gridSpan w:val="3"/>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34 584.8</w:t>
            </w:r>
          </w:p>
        </w:tc>
        <w:tc>
          <w:tcPr>
            <w:tcW w:w="946"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38 644.3</w:t>
            </w:r>
          </w:p>
        </w:tc>
        <w:tc>
          <w:tcPr>
            <w:tcW w:w="945"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38 645.6</w:t>
            </w:r>
          </w:p>
        </w:tc>
        <w:tc>
          <w:tcPr>
            <w:tcW w:w="946"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41 431.3</w:t>
            </w:r>
          </w:p>
        </w:tc>
        <w:tc>
          <w:tcPr>
            <w:tcW w:w="945"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41 247.5</w:t>
            </w:r>
          </w:p>
        </w:tc>
        <w:tc>
          <w:tcPr>
            <w:tcW w:w="946"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40 479.7</w:t>
            </w:r>
          </w:p>
        </w:tc>
      </w:tr>
    </w:tbl>
    <w:p w:rsidR="00F60B5F" w:rsidRDefault="00F60B5F" w:rsidP="00E01F92">
      <w:pPr>
        <w:pStyle w:val="Source"/>
      </w:pPr>
      <w:r w:rsidRPr="00F27D04">
        <w:t>Source: Department of Treasury and Finance</w:t>
      </w:r>
    </w:p>
    <w:p w:rsidR="00F60B5F" w:rsidRPr="00B56B1C" w:rsidRDefault="00F60B5F" w:rsidP="008769E8">
      <w:pPr>
        <w:pStyle w:val="Notes"/>
      </w:pPr>
      <w:r w:rsidRPr="00B56B1C">
        <w:t>Note:</w:t>
      </w:r>
    </w:p>
    <w:p w:rsidR="00F60B5F" w:rsidRPr="008769E8" w:rsidRDefault="00F60B5F" w:rsidP="008769E8">
      <w:pPr>
        <w:pStyle w:val="Notes"/>
      </w:pPr>
      <w:r>
        <w:t>(a</w:t>
      </w:r>
      <w:r w:rsidRPr="00B56B1C">
        <w:t>)</w:t>
      </w:r>
      <w:r w:rsidRPr="00B56B1C">
        <w:tab/>
      </w:r>
      <w:r w:rsidRPr="00E01F92">
        <w:t>Impact is due to the correction of balances as at 30 June 2013 between deferred tax liability accounts.</w:t>
      </w:r>
    </w:p>
    <w:p w:rsidR="00F60B5F" w:rsidRPr="00E01F92" w:rsidRDefault="00F60B5F" w:rsidP="00E01F92"/>
    <w:p w:rsidR="00F60B5F" w:rsidRPr="00F27D04" w:rsidRDefault="00F60B5F" w:rsidP="00250CAA">
      <w:pPr>
        <w:pStyle w:val="Tableheading"/>
      </w:pPr>
      <w:r w:rsidRPr="00F27D04">
        <w:t>Table 6.10:</w:t>
      </w:r>
      <w:r w:rsidRPr="00F27D04">
        <w:tab/>
        <w:t>Non</w:t>
      </w:r>
      <w:r>
        <w:noBreakHyphen/>
      </w:r>
      <w:r w:rsidRPr="00F27D04">
        <w:t>financial public sector cash flow statement</w:t>
      </w:r>
    </w:p>
    <w:p w:rsidR="00F60B5F" w:rsidRPr="00E1323B" w:rsidRDefault="00F60B5F" w:rsidP="00E1323B">
      <w:pPr>
        <w:pStyle w:val="million"/>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39"/>
        <w:gridCol w:w="547"/>
        <w:gridCol w:w="306"/>
        <w:gridCol w:w="892"/>
        <w:gridCol w:w="892"/>
        <w:gridCol w:w="892"/>
        <w:gridCol w:w="892"/>
        <w:gridCol w:w="892"/>
      </w:tblGrid>
      <w:tr w:rsidR="00F60B5F" w:rsidRPr="00E1323B" w:rsidTr="005C751E">
        <w:trPr>
          <w:tblHeader/>
        </w:trPr>
        <w:tc>
          <w:tcPr>
            <w:tcW w:w="2408"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92" w:type="dxa"/>
            <w:gridSpan w:val="3"/>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92"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5C751E">
        <w:trPr>
          <w:tblHeader/>
        </w:trPr>
        <w:tc>
          <w:tcPr>
            <w:tcW w:w="2408"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92" w:type="dxa"/>
            <w:gridSpan w:val="3"/>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Actual</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Budget</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Revised</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92"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E1323B">
        <w:tc>
          <w:tcPr>
            <w:tcW w:w="2994" w:type="dxa"/>
            <w:gridSpan w:val="3"/>
            <w:tcBorders>
              <w:top w:val="single" w:sz="6" w:space="0" w:color="000000"/>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operating activities</w:t>
            </w:r>
          </w:p>
        </w:tc>
        <w:tc>
          <w:tcPr>
            <w:tcW w:w="306"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Receipts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Taxes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14 886.3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16 046.8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16 121.6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17 164.4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17 921.7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18 847.0</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Grants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21 988.5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23 292.5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23 205.4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24 270.1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24 869.1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26 166.8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 xml:space="preserve">Sales of goods and services </w:t>
            </w:r>
            <w:r w:rsidRPr="00E1323B">
              <w:rPr>
                <w:rFonts w:eastAsiaTheme="minorEastAsia"/>
                <w:sz w:val="19"/>
                <w:vertAlign w:val="superscript"/>
                <w:lang w:eastAsia="en-AU"/>
              </w:rPr>
              <w:t>(a)</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10 715.9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12 353.4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12 187.1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12 131.8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12 441.7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12 527.5</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428.6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379.6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355.3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357.7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385.6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403.3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and income tax equivalent and rate equivalents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607.8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399.5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419.6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425.2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499.0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502.7</w:t>
            </w:r>
          </w:p>
        </w:tc>
      </w:tr>
      <w:tr w:rsidR="00F60B5F" w:rsidRPr="00E1323B" w:rsidTr="00E1323B">
        <w:tc>
          <w:tcPr>
            <w:tcW w:w="2408"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receipts</w:t>
            </w:r>
          </w:p>
        </w:tc>
        <w:tc>
          <w:tcPr>
            <w:tcW w:w="892"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2 097.5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2 002.8</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1 986.1</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1 884.3</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1 972.2</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1 960.3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receipts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50 724.5</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54 474.7</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54 275.1</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56 233.5</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58 089.4</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60 407.6</w:t>
            </w:r>
          </w:p>
        </w:tc>
      </w:tr>
      <w:tr w:rsidR="00F60B5F" w:rsidRPr="00E1323B" w:rsidTr="00E1323B">
        <w:trPr>
          <w:trHeight w:hRule="exact" w:val="120"/>
        </w:trPr>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 </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Payments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Payments for employees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(18 548.6)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(18 743.7)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(18 622.2)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(19 293.6)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(20 025.6)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(20 669.5)</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Superannuation</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(2 629.2)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(2 736.6)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(2 729.0)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(2 769.3)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(2 812.4)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(2 975.3)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(2 343.8)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(2 881.7)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(2 811.4)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(2 972.1)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(3 016.7)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(3 067.4)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Grants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(5 623.2)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(5 384.4)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(5 123.2)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(5 424.7)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(5 621.0)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(5 970.3)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 xml:space="preserve">Goods and services </w:t>
            </w:r>
            <w:r w:rsidRPr="00E1323B">
              <w:rPr>
                <w:rFonts w:eastAsiaTheme="minorEastAsia"/>
                <w:sz w:val="19"/>
                <w:vertAlign w:val="superscript"/>
                <w:lang w:eastAsia="en-AU"/>
              </w:rPr>
              <w:t>(a)</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(18 781.6)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(20 121.3)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(20 698.8)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(20 401.3)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(19 902.8)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(20 299.8)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payments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( 300.6)</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( 627.9)</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( 633.0)</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( 671.2)</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( 698.8)</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( 728.7)</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payments</w:t>
            </w:r>
          </w:p>
        </w:tc>
        <w:tc>
          <w:tcPr>
            <w:tcW w:w="892"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(48 227.0)</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(50 495.6)</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(50 617.7)</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(51 532.2)</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(52 077.4)</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(53 711.0)</w:t>
            </w:r>
          </w:p>
        </w:tc>
      </w:tr>
      <w:tr w:rsidR="00F60B5F" w:rsidRPr="00E1323B" w:rsidTr="00E1323B">
        <w:tc>
          <w:tcPr>
            <w:tcW w:w="2408"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operating activities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2 497.5</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3 979.1</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3 657.4</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4 701.4</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6 011.9</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6 696.7</w:t>
            </w:r>
          </w:p>
        </w:tc>
      </w:tr>
      <w:tr w:rsidR="00F60B5F" w:rsidRPr="00E1323B" w:rsidTr="00E1323B">
        <w:tc>
          <w:tcPr>
            <w:tcW w:w="2994" w:type="dxa"/>
            <w:gridSpan w:val="3"/>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investing activities</w:t>
            </w:r>
          </w:p>
        </w:tc>
        <w:tc>
          <w:tcPr>
            <w:tcW w:w="30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Purchases of non</w:t>
            </w:r>
            <w:r>
              <w:rPr>
                <w:rFonts w:eastAsiaTheme="minorEastAsia"/>
                <w:sz w:val="19"/>
                <w:lang w:eastAsia="en-AU"/>
              </w:rPr>
              <w:noBreakHyphen/>
            </w:r>
            <w:r w:rsidRPr="00E1323B">
              <w:rPr>
                <w:rFonts w:eastAsiaTheme="minorEastAsia"/>
                <w:sz w:val="19"/>
                <w:lang w:eastAsia="en-AU"/>
              </w:rPr>
              <w:t>financial assets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(7 816.6)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(8 550.7)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(8 085.8)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(7 977.6)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(5 699.2)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(6 145.4)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Sales of non</w:t>
            </w:r>
            <w:r>
              <w:rPr>
                <w:rFonts w:eastAsiaTheme="minorEastAsia"/>
                <w:sz w:val="19"/>
                <w:lang w:eastAsia="en-AU"/>
              </w:rPr>
              <w:noBreakHyphen/>
            </w:r>
            <w:r w:rsidRPr="00E1323B">
              <w:rPr>
                <w:rFonts w:eastAsiaTheme="minorEastAsia"/>
                <w:sz w:val="19"/>
                <w:lang w:eastAsia="en-AU"/>
              </w:rPr>
              <w:t>financial assets</w:t>
            </w:r>
          </w:p>
        </w:tc>
        <w:tc>
          <w:tcPr>
            <w:tcW w:w="892"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404.4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525.9</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507.8</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535.1</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572.7</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518.3</w:t>
            </w:r>
          </w:p>
        </w:tc>
      </w:tr>
      <w:tr w:rsidR="00F60B5F" w:rsidRPr="00E1323B" w:rsidTr="00E1323B">
        <w:tc>
          <w:tcPr>
            <w:tcW w:w="2408" w:type="dxa"/>
            <w:tcBorders>
              <w:top w:val="single" w:sz="6" w:space="0" w:color="auto"/>
              <w:left w:val="nil"/>
              <w:bottom w:val="nil"/>
              <w:right w:val="nil"/>
            </w:tcBorders>
          </w:tcPr>
          <w:p w:rsidR="00F60B5F" w:rsidRPr="005E192D" w:rsidRDefault="00F60B5F" w:rsidP="00E1323B">
            <w:pPr>
              <w:pStyle w:val="Tabletext"/>
              <w:rPr>
                <w:rFonts w:eastAsiaTheme="minorEastAsia"/>
                <w:sz w:val="19"/>
                <w:lang w:eastAsia="en-AU"/>
              </w:rPr>
            </w:pPr>
            <w:r w:rsidRPr="005E192D">
              <w:rPr>
                <w:rFonts w:eastAsiaTheme="minorEastAsia"/>
                <w:sz w:val="19"/>
                <w:lang w:eastAsia="en-AU"/>
              </w:rPr>
              <w:t>Cash flows from investments in non</w:t>
            </w:r>
            <w:r>
              <w:rPr>
                <w:rFonts w:eastAsiaTheme="minorEastAsia"/>
                <w:sz w:val="19"/>
                <w:lang w:eastAsia="en-AU"/>
              </w:rPr>
              <w:noBreakHyphen/>
            </w:r>
            <w:r w:rsidRPr="005E192D">
              <w:rPr>
                <w:rFonts w:eastAsiaTheme="minorEastAsia"/>
                <w:sz w:val="19"/>
                <w:lang w:eastAsia="en-AU"/>
              </w:rPr>
              <w:t>financial assets</w:t>
            </w:r>
          </w:p>
        </w:tc>
        <w:tc>
          <w:tcPr>
            <w:tcW w:w="892" w:type="dxa"/>
            <w:gridSpan w:val="3"/>
            <w:tcBorders>
              <w:top w:val="nil"/>
              <w:left w:val="nil"/>
              <w:bottom w:val="nil"/>
              <w:right w:val="nil"/>
            </w:tcBorders>
          </w:tcPr>
          <w:p w:rsidR="00F60B5F" w:rsidRPr="005E192D" w:rsidRDefault="00F60B5F" w:rsidP="00E1323B">
            <w:pPr>
              <w:pStyle w:val="TableofFigures"/>
              <w:rPr>
                <w:rFonts w:eastAsiaTheme="minorEastAsia"/>
                <w:sz w:val="19"/>
                <w:lang w:eastAsia="en-AU"/>
              </w:rPr>
            </w:pPr>
            <w:r w:rsidRPr="005E192D">
              <w:rPr>
                <w:rFonts w:eastAsiaTheme="minorEastAsia"/>
                <w:sz w:val="19"/>
                <w:lang w:eastAsia="en-AU"/>
              </w:rPr>
              <w:t>(7 412.2)</w:t>
            </w:r>
          </w:p>
        </w:tc>
        <w:tc>
          <w:tcPr>
            <w:tcW w:w="892" w:type="dxa"/>
            <w:tcBorders>
              <w:top w:val="nil"/>
              <w:left w:val="nil"/>
              <w:bottom w:val="nil"/>
              <w:right w:val="nil"/>
            </w:tcBorders>
          </w:tcPr>
          <w:p w:rsidR="00F60B5F" w:rsidRPr="005E192D" w:rsidRDefault="00F60B5F" w:rsidP="00E1323B">
            <w:pPr>
              <w:pStyle w:val="TableofFigures"/>
              <w:rPr>
                <w:rFonts w:eastAsiaTheme="minorEastAsia"/>
                <w:sz w:val="19"/>
                <w:lang w:eastAsia="en-AU"/>
              </w:rPr>
            </w:pPr>
            <w:r w:rsidRPr="005E192D">
              <w:rPr>
                <w:rFonts w:eastAsiaTheme="minorEastAsia"/>
                <w:sz w:val="19"/>
                <w:lang w:eastAsia="en-AU"/>
              </w:rPr>
              <w:t>(8 024.8)</w:t>
            </w:r>
          </w:p>
        </w:tc>
        <w:tc>
          <w:tcPr>
            <w:tcW w:w="892" w:type="dxa"/>
            <w:tcBorders>
              <w:top w:val="nil"/>
              <w:left w:val="nil"/>
              <w:bottom w:val="nil"/>
              <w:right w:val="nil"/>
            </w:tcBorders>
          </w:tcPr>
          <w:p w:rsidR="00F60B5F" w:rsidRPr="005E192D" w:rsidRDefault="00F60B5F" w:rsidP="00E1323B">
            <w:pPr>
              <w:pStyle w:val="TableofFigures"/>
              <w:rPr>
                <w:rFonts w:eastAsiaTheme="minorEastAsia"/>
                <w:sz w:val="19"/>
                <w:lang w:eastAsia="en-AU"/>
              </w:rPr>
            </w:pPr>
            <w:r w:rsidRPr="005E192D">
              <w:rPr>
                <w:rFonts w:eastAsiaTheme="minorEastAsia"/>
                <w:sz w:val="19"/>
                <w:lang w:eastAsia="en-AU"/>
              </w:rPr>
              <w:t>(7 578.0)</w:t>
            </w:r>
          </w:p>
        </w:tc>
        <w:tc>
          <w:tcPr>
            <w:tcW w:w="892" w:type="dxa"/>
            <w:tcBorders>
              <w:top w:val="nil"/>
              <w:left w:val="nil"/>
              <w:bottom w:val="nil"/>
              <w:right w:val="nil"/>
            </w:tcBorders>
          </w:tcPr>
          <w:p w:rsidR="00F60B5F" w:rsidRPr="005E192D" w:rsidRDefault="00F60B5F" w:rsidP="00E1323B">
            <w:pPr>
              <w:pStyle w:val="TableofFigures"/>
              <w:rPr>
                <w:rFonts w:eastAsiaTheme="minorEastAsia"/>
                <w:sz w:val="19"/>
                <w:lang w:eastAsia="en-AU"/>
              </w:rPr>
            </w:pPr>
            <w:r w:rsidRPr="005E192D">
              <w:rPr>
                <w:rFonts w:eastAsiaTheme="minorEastAsia"/>
                <w:sz w:val="19"/>
                <w:lang w:eastAsia="en-AU"/>
              </w:rPr>
              <w:t>(7 442.5)</w:t>
            </w:r>
          </w:p>
        </w:tc>
        <w:tc>
          <w:tcPr>
            <w:tcW w:w="892" w:type="dxa"/>
            <w:tcBorders>
              <w:top w:val="nil"/>
              <w:left w:val="nil"/>
              <w:bottom w:val="nil"/>
              <w:right w:val="nil"/>
            </w:tcBorders>
          </w:tcPr>
          <w:p w:rsidR="00F60B5F" w:rsidRPr="005E192D" w:rsidRDefault="00F60B5F" w:rsidP="00E1323B">
            <w:pPr>
              <w:pStyle w:val="TableofFigures"/>
              <w:rPr>
                <w:rFonts w:eastAsiaTheme="minorEastAsia"/>
                <w:sz w:val="19"/>
                <w:lang w:eastAsia="en-AU"/>
              </w:rPr>
            </w:pPr>
            <w:r w:rsidRPr="005E192D">
              <w:rPr>
                <w:rFonts w:eastAsiaTheme="minorEastAsia"/>
                <w:sz w:val="19"/>
                <w:lang w:eastAsia="en-AU"/>
              </w:rPr>
              <w:t>(5 126.5)</w:t>
            </w:r>
          </w:p>
        </w:tc>
        <w:tc>
          <w:tcPr>
            <w:tcW w:w="892" w:type="dxa"/>
            <w:tcBorders>
              <w:top w:val="nil"/>
              <w:left w:val="nil"/>
              <w:bottom w:val="nil"/>
              <w:right w:val="nil"/>
            </w:tcBorders>
          </w:tcPr>
          <w:p w:rsidR="00F60B5F" w:rsidRPr="005E192D" w:rsidRDefault="00F60B5F" w:rsidP="00E1323B">
            <w:pPr>
              <w:pStyle w:val="TableofFigures"/>
              <w:rPr>
                <w:rFonts w:eastAsiaTheme="minorEastAsia"/>
                <w:sz w:val="19"/>
                <w:lang w:eastAsia="en-AU"/>
              </w:rPr>
            </w:pPr>
            <w:r w:rsidRPr="005E192D">
              <w:rPr>
                <w:rFonts w:eastAsiaTheme="minorEastAsia"/>
                <w:sz w:val="19"/>
                <w:lang w:eastAsia="en-AU"/>
              </w:rPr>
              <w:t>(5 627.1)</w:t>
            </w:r>
          </w:p>
        </w:tc>
      </w:tr>
      <w:tr w:rsidR="00F60B5F" w:rsidRPr="00836A23"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investments in financial assets for policy purposes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319.2</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( 15.0)</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( 11.1</w:t>
            </w:r>
            <w:r w:rsidRPr="00E1323B">
              <w:rPr>
                <w:rFonts w:eastAsiaTheme="minorEastAsia" w:cs="Calibri"/>
                <w:lang w:eastAsia="en-AU"/>
              </w:rPr>
              <w:t>)</w:t>
            </w:r>
          </w:p>
        </w:tc>
        <w:tc>
          <w:tcPr>
            <w:tcW w:w="892" w:type="dxa"/>
            <w:tcBorders>
              <w:top w:val="nil"/>
              <w:left w:val="nil"/>
              <w:bottom w:val="nil"/>
              <w:right w:val="nil"/>
            </w:tcBorders>
          </w:tcPr>
          <w:p w:rsidR="00F60B5F" w:rsidRPr="00836A23" w:rsidRDefault="00F60B5F" w:rsidP="00E1323B">
            <w:pPr>
              <w:pStyle w:val="TableofFigures"/>
              <w:rPr>
                <w:rFonts w:eastAsiaTheme="minorEastAsia" w:cs="Calibri"/>
                <w:lang w:eastAsia="en-AU"/>
              </w:rPr>
            </w:pPr>
            <w:r w:rsidRPr="00836A23">
              <w:rPr>
                <w:rFonts w:eastAsiaTheme="minorEastAsia"/>
                <w:sz w:val="19"/>
                <w:lang w:eastAsia="en-AU"/>
              </w:rPr>
              <w:t>( 0.8</w:t>
            </w:r>
            <w:r w:rsidRPr="00836A23">
              <w:rPr>
                <w:rFonts w:eastAsiaTheme="minorEastAsia" w:cs="Calibri"/>
                <w:lang w:eastAsia="en-AU"/>
              </w:rPr>
              <w:t>)</w:t>
            </w:r>
          </w:p>
        </w:tc>
        <w:tc>
          <w:tcPr>
            <w:tcW w:w="892" w:type="dxa"/>
            <w:tcBorders>
              <w:top w:val="nil"/>
              <w:left w:val="nil"/>
              <w:bottom w:val="nil"/>
              <w:right w:val="nil"/>
            </w:tcBorders>
          </w:tcPr>
          <w:p w:rsidR="00F60B5F" w:rsidRPr="00836A23" w:rsidRDefault="00F60B5F" w:rsidP="00E1323B">
            <w:pPr>
              <w:pStyle w:val="TableofFigures"/>
              <w:rPr>
                <w:rFonts w:eastAsiaTheme="minorEastAsia"/>
                <w:sz w:val="19"/>
                <w:lang w:eastAsia="en-AU"/>
              </w:rPr>
            </w:pPr>
            <w:r w:rsidRPr="00836A23">
              <w:rPr>
                <w:rFonts w:eastAsiaTheme="minorEastAsia"/>
                <w:sz w:val="19"/>
                <w:lang w:eastAsia="en-AU"/>
              </w:rPr>
              <w:t xml:space="preserve"> 346.4</w:t>
            </w:r>
          </w:p>
        </w:tc>
        <w:tc>
          <w:tcPr>
            <w:tcW w:w="892" w:type="dxa"/>
            <w:tcBorders>
              <w:top w:val="nil"/>
              <w:left w:val="nil"/>
              <w:bottom w:val="nil"/>
              <w:right w:val="nil"/>
            </w:tcBorders>
          </w:tcPr>
          <w:p w:rsidR="00F60B5F" w:rsidRPr="00836A23" w:rsidRDefault="00F60B5F" w:rsidP="00E1323B">
            <w:pPr>
              <w:pStyle w:val="TableofFigures"/>
              <w:rPr>
                <w:rFonts w:eastAsiaTheme="minorEastAsia" w:cs="Calibri"/>
                <w:lang w:eastAsia="en-AU"/>
              </w:rPr>
            </w:pPr>
            <w:r w:rsidRPr="00836A23">
              <w:rPr>
                <w:rFonts w:eastAsiaTheme="minorEastAsia"/>
                <w:sz w:val="19"/>
                <w:lang w:eastAsia="en-AU"/>
              </w:rPr>
              <w:t>( 23.6</w:t>
            </w:r>
            <w:r w:rsidRPr="00836A23">
              <w:rPr>
                <w:rFonts w:eastAsiaTheme="minorEastAsia" w:cs="Calibri"/>
                <w:lang w:eastAsia="en-AU"/>
              </w:rPr>
              <w:t>)</w:t>
            </w:r>
          </w:p>
        </w:tc>
      </w:tr>
      <w:tr w:rsidR="00F60B5F" w:rsidRPr="00E1323B" w:rsidTr="00E1323B">
        <w:tc>
          <w:tcPr>
            <w:tcW w:w="2447" w:type="dxa"/>
            <w:gridSpan w:val="2"/>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investments in financial assets for liquidity purposes</w:t>
            </w:r>
          </w:p>
        </w:tc>
        <w:tc>
          <w:tcPr>
            <w:tcW w:w="853"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(1 110.1)</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( 24.3)</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144.1</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( 44.7)</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( 100.2)</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( 74.8)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investing activities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(8 203.1)</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(8 064.1)</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(7 445.0)</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(7 488.1)</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(4 880.3)</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(5 725.5)</w:t>
            </w:r>
          </w:p>
        </w:tc>
      </w:tr>
      <w:tr w:rsidR="00F60B5F" w:rsidRPr="00E1323B" w:rsidTr="00E1323B">
        <w:tc>
          <w:tcPr>
            <w:tcW w:w="2994" w:type="dxa"/>
            <w:gridSpan w:val="3"/>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financing activities</w:t>
            </w:r>
          </w:p>
        </w:tc>
        <w:tc>
          <w:tcPr>
            <w:tcW w:w="306"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Advances received (net)</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( 0.6)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borrowings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4 614.0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4 318.6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3 688.2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3 085.0</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( 806.0)</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( 477.8)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Deposits received (net)</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75.8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6.0</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( 13.8)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1.2</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financing activities</w:t>
            </w:r>
          </w:p>
        </w:tc>
        <w:tc>
          <w:tcPr>
            <w:tcW w:w="892"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4 690.3</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4 324.5</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3 673.9</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3 086.8</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( 805.7)</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( 476.6)</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increase/(decrease) in cash and cash equivalents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(1 015.2)</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239.6</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( 113.8)</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300.1</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325.9</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494.6</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pageBreakBefore/>
              <w:ind w:left="181" w:hanging="181"/>
              <w:rPr>
                <w:rFonts w:eastAsiaTheme="minorEastAsia"/>
                <w:sz w:val="19"/>
                <w:lang w:eastAsia="en-AU"/>
              </w:rPr>
            </w:pPr>
            <w:r w:rsidRPr="00E1323B">
              <w:rPr>
                <w:rFonts w:eastAsiaTheme="minorEastAsia"/>
                <w:sz w:val="19"/>
                <w:lang w:eastAsia="en-AU"/>
              </w:rPr>
              <w:t>Cash and cash equivalents at beginning of reporting period</w:t>
            </w:r>
          </w:p>
        </w:tc>
        <w:tc>
          <w:tcPr>
            <w:tcW w:w="892" w:type="dxa"/>
            <w:gridSpan w:val="3"/>
            <w:tcBorders>
              <w:top w:val="nil"/>
              <w:left w:val="nil"/>
              <w:bottom w:val="single" w:sz="6" w:space="0" w:color="auto"/>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5 775.1</w:t>
            </w:r>
          </w:p>
        </w:tc>
        <w:tc>
          <w:tcPr>
            <w:tcW w:w="892"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4 759.8</w:t>
            </w:r>
          </w:p>
        </w:tc>
        <w:tc>
          <w:tcPr>
            <w:tcW w:w="892"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4 759.8</w:t>
            </w:r>
          </w:p>
        </w:tc>
        <w:tc>
          <w:tcPr>
            <w:tcW w:w="892"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4 646.1</w:t>
            </w:r>
          </w:p>
        </w:tc>
        <w:tc>
          <w:tcPr>
            <w:tcW w:w="892"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4 946.2</w:t>
            </w:r>
          </w:p>
        </w:tc>
        <w:tc>
          <w:tcPr>
            <w:tcW w:w="892" w:type="dxa"/>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5 272.1</w:t>
            </w:r>
          </w:p>
        </w:tc>
      </w:tr>
      <w:tr w:rsidR="00F60B5F" w:rsidRPr="00E1323B" w:rsidTr="00E1323B">
        <w:tc>
          <w:tcPr>
            <w:tcW w:w="240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vertAlign w:val="superscript"/>
                <w:lang w:eastAsia="en-AU"/>
              </w:rPr>
            </w:pPr>
            <w:r w:rsidRPr="00E1323B">
              <w:rPr>
                <w:rFonts w:eastAsiaTheme="minorEastAsia"/>
                <w:b/>
                <w:bCs/>
                <w:sz w:val="19"/>
                <w:lang w:eastAsia="en-AU"/>
              </w:rPr>
              <w:t xml:space="preserve">Cash and cash equivalents at end of reporting period </w:t>
            </w:r>
            <w:r w:rsidRPr="00E1323B">
              <w:rPr>
                <w:rFonts w:eastAsiaTheme="minorEastAsia"/>
                <w:b/>
                <w:bCs/>
                <w:sz w:val="19"/>
                <w:vertAlign w:val="superscript"/>
                <w:lang w:eastAsia="en-AU"/>
              </w:rPr>
              <w:t>(b)</w:t>
            </w:r>
          </w:p>
        </w:tc>
        <w:tc>
          <w:tcPr>
            <w:tcW w:w="892" w:type="dxa"/>
            <w:gridSpan w:val="3"/>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4 759.8</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4 999.5</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4 646.1</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4 946.2</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5 272.1</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5 766.7</w:t>
            </w:r>
          </w:p>
        </w:tc>
      </w:tr>
      <w:tr w:rsidR="00F60B5F" w:rsidRPr="00E1323B" w:rsidTr="00E1323B">
        <w:trPr>
          <w:trHeight w:hRule="exact" w:val="120"/>
        </w:trPr>
        <w:tc>
          <w:tcPr>
            <w:tcW w:w="2408"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 xml:space="preserve"> </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FISCAL AGGREGATES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operating activities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2 497.5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3 979.1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3 657.4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4 701.4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6 011.9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6 696.7</w:t>
            </w:r>
          </w:p>
        </w:tc>
      </w:tr>
      <w:tr w:rsidR="00F60B5F" w:rsidRPr="00E1323B" w:rsidTr="00E1323B">
        <w:tc>
          <w:tcPr>
            <w:tcW w:w="2408"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investments in non</w:t>
            </w:r>
            <w:r>
              <w:rPr>
                <w:rFonts w:eastAsiaTheme="minorEastAsia"/>
                <w:sz w:val="19"/>
                <w:lang w:eastAsia="en-AU"/>
              </w:rPr>
              <w:noBreakHyphen/>
            </w:r>
            <w:r w:rsidRPr="00E1323B">
              <w:rPr>
                <w:rFonts w:eastAsiaTheme="minorEastAsia"/>
                <w:sz w:val="19"/>
                <w:lang w:eastAsia="en-AU"/>
              </w:rPr>
              <w:t>financial assets</w:t>
            </w:r>
          </w:p>
        </w:tc>
        <w:tc>
          <w:tcPr>
            <w:tcW w:w="892"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(7 412.2)</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(8 024.8)</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(7 578.0)</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(7 442.5)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(5 126.5)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(5 627.1)</w:t>
            </w:r>
          </w:p>
        </w:tc>
      </w:tr>
      <w:tr w:rsidR="00F60B5F" w:rsidRPr="00E1323B" w:rsidTr="00E1323B">
        <w:tc>
          <w:tcPr>
            <w:tcW w:w="2408"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surplus/(deficit)</w:t>
            </w:r>
          </w:p>
        </w:tc>
        <w:tc>
          <w:tcPr>
            <w:tcW w:w="892" w:type="dxa"/>
            <w:gridSpan w:val="3"/>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(4 914.7)</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(4 045.7)</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xml:space="preserve">(3 </w:t>
            </w:r>
            <w:r w:rsidRPr="00E1323B">
              <w:rPr>
                <w:rFonts w:eastAsiaTheme="minorEastAsia" w:cs="Calibri"/>
                <w:b/>
                <w:bCs/>
                <w:lang w:eastAsia="en-AU"/>
              </w:rPr>
              <w:t>920.6)</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(2 741.2)</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885.4</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color w:val="0000FF"/>
                <w:lang w:eastAsia="en-AU"/>
              </w:rPr>
            </w:pPr>
            <w:r w:rsidRPr="00E1323B">
              <w:rPr>
                <w:rFonts w:eastAsiaTheme="minorEastAsia"/>
                <w:b/>
                <w:bCs/>
                <w:sz w:val="19"/>
                <w:lang w:eastAsia="en-AU"/>
              </w:rPr>
              <w:t>1 069.6</w:t>
            </w:r>
          </w:p>
        </w:tc>
      </w:tr>
    </w:tbl>
    <w:p w:rsidR="00F60B5F" w:rsidRPr="00F27D04" w:rsidRDefault="00F60B5F" w:rsidP="005064BB">
      <w:pPr>
        <w:pStyle w:val="Source"/>
      </w:pPr>
      <w:r w:rsidRPr="00F27D04">
        <w:t>Source: Department of Treasury and Finance</w:t>
      </w:r>
    </w:p>
    <w:p w:rsidR="00F60B5F" w:rsidRPr="00F27D04" w:rsidRDefault="00F60B5F" w:rsidP="0027566E">
      <w:pPr>
        <w:pStyle w:val="Notes"/>
      </w:pPr>
      <w:r w:rsidRPr="00F27D04">
        <w:t>Notes:</w:t>
      </w:r>
    </w:p>
    <w:p w:rsidR="00F60B5F" w:rsidRPr="00F27D04" w:rsidRDefault="00F60B5F" w:rsidP="0027566E">
      <w:pPr>
        <w:pStyle w:val="Notes"/>
      </w:pPr>
      <w:r w:rsidRPr="00F27D04">
        <w:t xml:space="preserve">(a) </w:t>
      </w:r>
      <w:r w:rsidRPr="00F27D04">
        <w:tab/>
        <w:t>These items are inclusive of goods and service tax.</w:t>
      </w:r>
    </w:p>
    <w:p w:rsidR="00F60B5F" w:rsidRPr="00F27D04" w:rsidRDefault="00F60B5F" w:rsidP="0027566E">
      <w:pPr>
        <w:pStyle w:val="Notes"/>
      </w:pPr>
      <w:r w:rsidRPr="00F27D04">
        <w:t>(b)</w:t>
      </w:r>
      <w:r w:rsidRPr="00F27D04">
        <w:tab/>
        <w:t xml:space="preserve"> Cash and cash equivalents at the end of reporting period does not equal to cash and deposit on the balance sheet. This is due to the overdraft being included  on the cash flow statement.</w:t>
      </w:r>
    </w:p>
    <w:p w:rsidR="00F60B5F" w:rsidRPr="00F27D04" w:rsidRDefault="00F60B5F" w:rsidP="0027566E">
      <w:pPr>
        <w:pStyle w:val="Notes"/>
      </w:pPr>
    </w:p>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6.11:</w:t>
      </w:r>
      <w:r w:rsidRPr="00F27D04">
        <w:tab/>
        <w:t>Non</w:t>
      </w:r>
      <w:r>
        <w:noBreakHyphen/>
      </w:r>
      <w:r w:rsidRPr="00F27D04">
        <w:t>financial public sector statement of changes in equity</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4553"/>
        <w:gridCol w:w="1603"/>
        <w:gridCol w:w="1604"/>
      </w:tblGrid>
      <w:tr w:rsidR="00F60B5F" w:rsidRPr="00E1323B" w:rsidTr="00E1323B">
        <w:tc>
          <w:tcPr>
            <w:tcW w:w="4553" w:type="dxa"/>
            <w:tcBorders>
              <w:top w:val="single" w:sz="6" w:space="0" w:color="000000"/>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1603"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Accumulated surplus/(deficit)</w:t>
            </w:r>
          </w:p>
        </w:tc>
        <w:tc>
          <w:tcPr>
            <w:tcW w:w="1604" w:type="dxa"/>
            <w:tcBorders>
              <w:top w:val="single" w:sz="6" w:space="0" w:color="000000"/>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Non</w:t>
            </w:r>
            <w:r>
              <w:rPr>
                <w:rFonts w:eastAsiaTheme="minorEastAsia"/>
                <w:color w:val="FFFFFF"/>
                <w:lang w:eastAsia="en-AU"/>
              </w:rPr>
              <w:noBreakHyphen/>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controlling interest</w:t>
            </w:r>
          </w:p>
        </w:tc>
      </w:tr>
      <w:tr w:rsidR="00F60B5F" w:rsidRPr="00E1323B" w:rsidTr="00E1323B">
        <w:tc>
          <w:tcPr>
            <w:tcW w:w="4553" w:type="dxa"/>
            <w:tcBorders>
              <w:top w:val="single" w:sz="6" w:space="0" w:color="000000"/>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2012</w:t>
            </w:r>
            <w:r>
              <w:rPr>
                <w:rFonts w:eastAsiaTheme="minorEastAsia"/>
                <w:b/>
                <w:bCs/>
                <w:lang w:eastAsia="en-AU"/>
              </w:rPr>
              <w:noBreakHyphen/>
            </w:r>
            <w:r w:rsidRPr="00E1323B">
              <w:rPr>
                <w:rFonts w:eastAsiaTheme="minorEastAsia"/>
                <w:b/>
                <w:bCs/>
                <w:lang w:eastAsia="en-AU"/>
              </w:rPr>
              <w:t>13 Actual</w:t>
            </w:r>
          </w:p>
        </w:tc>
        <w:tc>
          <w:tcPr>
            <w:tcW w:w="1603"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604"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lang w:eastAsia="en-AU"/>
              </w:rPr>
              <w:t xml:space="preserve">Balance at 1 July 2012 </w:t>
            </w:r>
            <w:r w:rsidRPr="00E1323B">
              <w:rPr>
                <w:rFonts w:eastAsiaTheme="minorEastAsia" w:cs="Calibri"/>
                <w:color w:val="000000"/>
                <w:vertAlign w:val="superscript"/>
                <w:lang w:eastAsia="en-AU"/>
              </w:rPr>
              <w:t>(a)</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39 836.1</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(2 173.3)</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lang w:eastAsia="en-AU"/>
              </w:rPr>
              <w:t xml:space="preserve">Other comprehensive income for the year </w:t>
            </w:r>
            <w:r w:rsidRPr="00E1323B">
              <w:rPr>
                <w:rFonts w:eastAsiaTheme="minorEastAsia" w:cs="Calibri"/>
                <w:color w:val="000000"/>
                <w:vertAlign w:val="superscript"/>
                <w:lang w:eastAsia="en-AU"/>
              </w:rPr>
              <w:t>(a)</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9 139.8</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Transactions with owners in their capacity as owners</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Pr>
                <w:rFonts w:eastAsiaTheme="minorEastAsia"/>
                <w:lang w:eastAsia="en-AU"/>
              </w:rPr>
              <w:t>..</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46 802.6</w:t>
            </w:r>
          </w:p>
        </w:tc>
        <w:tc>
          <w:tcPr>
            <w:tcW w:w="160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2013</w:t>
            </w:r>
            <w:r>
              <w:rPr>
                <w:rFonts w:eastAsiaTheme="minorEastAsia"/>
                <w:b/>
                <w:bCs/>
                <w:lang w:eastAsia="en-AU"/>
              </w:rPr>
              <w:noBreakHyphen/>
            </w:r>
            <w:r w:rsidRPr="00E1323B">
              <w:rPr>
                <w:rFonts w:eastAsiaTheme="minorEastAsia"/>
                <w:b/>
                <w:bCs/>
                <w:lang w:eastAsia="en-AU"/>
              </w:rPr>
              <w:t>14 Budget</w:t>
            </w:r>
          </w:p>
        </w:tc>
        <w:tc>
          <w:tcPr>
            <w:tcW w:w="160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604"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lang w:eastAsia="en-AU"/>
              </w:rPr>
              <w:t xml:space="preserve">Balance at 1 July 2013 </w:t>
            </w:r>
            <w:r w:rsidRPr="00E1323B">
              <w:rPr>
                <w:rFonts w:eastAsiaTheme="minorEastAsia" w:cs="Calibri"/>
                <w:color w:val="000000"/>
                <w:vertAlign w:val="superscript"/>
                <w:lang w:eastAsia="en-AU"/>
              </w:rPr>
              <w:t>(a)</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46 802.6</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( 604.8)</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lang w:eastAsia="en-AU"/>
              </w:rPr>
              <w:t xml:space="preserve">Other comprehensive income for the year </w:t>
            </w:r>
            <w:r w:rsidRPr="00E1323B">
              <w:rPr>
                <w:rFonts w:eastAsiaTheme="minorEastAsia" w:cs="Calibri"/>
                <w:color w:val="000000"/>
                <w:vertAlign w:val="superscript"/>
                <w:lang w:eastAsia="en-AU"/>
              </w:rPr>
              <w:t>(a)</w:t>
            </w:r>
          </w:p>
        </w:tc>
        <w:tc>
          <w:tcPr>
            <w:tcW w:w="1603"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2 325.6</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48 523.4</w:t>
            </w:r>
          </w:p>
        </w:tc>
        <w:tc>
          <w:tcPr>
            <w:tcW w:w="160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2013</w:t>
            </w:r>
            <w:r>
              <w:rPr>
                <w:rFonts w:eastAsiaTheme="minorEastAsia"/>
                <w:b/>
                <w:bCs/>
                <w:lang w:eastAsia="en-AU"/>
              </w:rPr>
              <w:noBreakHyphen/>
            </w:r>
            <w:r w:rsidRPr="00E1323B">
              <w:rPr>
                <w:rFonts w:eastAsiaTheme="minorEastAsia"/>
                <w:b/>
                <w:bCs/>
                <w:lang w:eastAsia="en-AU"/>
              </w:rPr>
              <w:t>14 Revised</w:t>
            </w:r>
          </w:p>
        </w:tc>
        <w:tc>
          <w:tcPr>
            <w:tcW w:w="160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604"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Balance at 1 July 2013</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46 802.6</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( 512.8)</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cs="Calibri"/>
                <w:color w:val="000000"/>
                <w:lang w:eastAsia="en-AU"/>
              </w:rPr>
            </w:pPr>
            <w:r w:rsidRPr="00E1323B">
              <w:rPr>
                <w:rFonts w:eastAsiaTheme="minorEastAsia"/>
                <w:lang w:eastAsia="en-AU"/>
              </w:rPr>
              <w:t xml:space="preserve">Other comprehensive income for the year </w:t>
            </w:r>
          </w:p>
        </w:tc>
        <w:tc>
          <w:tcPr>
            <w:tcW w:w="1603"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1 766.3</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48 056.1</w:t>
            </w:r>
          </w:p>
        </w:tc>
        <w:tc>
          <w:tcPr>
            <w:tcW w:w="160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2014</w:t>
            </w:r>
            <w:r>
              <w:rPr>
                <w:rFonts w:eastAsiaTheme="minorEastAsia"/>
                <w:b/>
                <w:bCs/>
                <w:lang w:eastAsia="en-AU"/>
              </w:rPr>
              <w:noBreakHyphen/>
            </w:r>
            <w:r w:rsidRPr="00E1323B">
              <w:rPr>
                <w:rFonts w:eastAsiaTheme="minorEastAsia"/>
                <w:b/>
                <w:bCs/>
                <w:lang w:eastAsia="en-AU"/>
              </w:rPr>
              <w:t>15 Estimate</w:t>
            </w:r>
          </w:p>
        </w:tc>
        <w:tc>
          <w:tcPr>
            <w:tcW w:w="160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604"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Balance at 1 July 2014</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48 056.1</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241.4</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Other comprehensive income for the year</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128.4</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48 425.9</w:t>
            </w:r>
          </w:p>
        </w:tc>
        <w:tc>
          <w:tcPr>
            <w:tcW w:w="160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2015</w:t>
            </w:r>
            <w:r>
              <w:rPr>
                <w:rFonts w:eastAsiaTheme="minorEastAsia"/>
                <w:b/>
                <w:bCs/>
                <w:lang w:eastAsia="en-AU"/>
              </w:rPr>
              <w:noBreakHyphen/>
            </w:r>
            <w:r w:rsidRPr="00E1323B">
              <w:rPr>
                <w:rFonts w:eastAsiaTheme="minorEastAsia"/>
                <w:b/>
                <w:bCs/>
                <w:lang w:eastAsia="en-AU"/>
              </w:rPr>
              <w:t>16 Estimate</w:t>
            </w:r>
          </w:p>
        </w:tc>
        <w:tc>
          <w:tcPr>
            <w:tcW w:w="160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604"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Balance at 1 July 2015</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48 425.9</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1 194.8</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Other comprehensive income for the year</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419.2</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60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50 039.9</w:t>
            </w:r>
          </w:p>
        </w:tc>
        <w:tc>
          <w:tcPr>
            <w:tcW w:w="1604"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2016</w:t>
            </w:r>
            <w:r>
              <w:rPr>
                <w:rFonts w:eastAsiaTheme="minorEastAsia"/>
                <w:b/>
                <w:bCs/>
                <w:lang w:eastAsia="en-AU"/>
              </w:rPr>
              <w:noBreakHyphen/>
            </w:r>
            <w:r w:rsidRPr="00E1323B">
              <w:rPr>
                <w:rFonts w:eastAsiaTheme="minorEastAsia"/>
                <w:b/>
                <w:bCs/>
                <w:lang w:eastAsia="en-AU"/>
              </w:rPr>
              <w:t>17 Estimate</w:t>
            </w:r>
          </w:p>
        </w:tc>
        <w:tc>
          <w:tcPr>
            <w:tcW w:w="160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604"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Balance at 1 July 2016</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50 039.9</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553"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60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1 810.4</w:t>
            </w:r>
          </w:p>
        </w:tc>
        <w:tc>
          <w:tcPr>
            <w:tcW w:w="1604"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nil"/>
              <w:left w:val="nil"/>
              <w:bottom w:val="single" w:sz="6" w:space="0" w:color="auto"/>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Other comprehensive income for the year</w:t>
            </w:r>
          </w:p>
        </w:tc>
        <w:tc>
          <w:tcPr>
            <w:tcW w:w="1603"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675.8</w:t>
            </w:r>
          </w:p>
        </w:tc>
        <w:tc>
          <w:tcPr>
            <w:tcW w:w="1604"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553"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603"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52 526.1</w:t>
            </w:r>
          </w:p>
        </w:tc>
        <w:tc>
          <w:tcPr>
            <w:tcW w:w="1604"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bl>
    <w:p w:rsidR="00F60B5F" w:rsidRDefault="00F60B5F" w:rsidP="00596C71">
      <w:pPr>
        <w:pStyle w:val="Source"/>
      </w:pPr>
      <w:r w:rsidRPr="00F27D04">
        <w:t>Source: Department of Treasury and Finance</w:t>
      </w:r>
    </w:p>
    <w:p w:rsidR="00F60B5F" w:rsidRDefault="00F60B5F" w:rsidP="00FE186A">
      <w:pPr>
        <w:pStyle w:val="Notes"/>
      </w:pPr>
      <w:r>
        <w:t>Note:</w:t>
      </w:r>
    </w:p>
    <w:p w:rsidR="00F60B5F" w:rsidRPr="00E01F92" w:rsidRDefault="00F60B5F" w:rsidP="00FE186A">
      <w:pPr>
        <w:pStyle w:val="Notes"/>
      </w:pPr>
      <w:r w:rsidRPr="00E01F92">
        <w:t>(a)</w:t>
      </w:r>
      <w:r>
        <w:tab/>
      </w:r>
      <w:r w:rsidRPr="00E01F92">
        <w:t>Impact is due to the correction of balances as at 30 June 2013 between deferred tax liability accounts.</w:t>
      </w:r>
    </w:p>
    <w:p w:rsidR="00F60B5F" w:rsidRPr="00F27D04" w:rsidRDefault="00F60B5F" w:rsidP="00250CAA"/>
    <w:p w:rsidR="00F60B5F" w:rsidRPr="00F27D04" w:rsidRDefault="00F60B5F">
      <w:pPr>
        <w:spacing w:after="0"/>
      </w:pPr>
      <w:r w:rsidRPr="00F27D04">
        <w:br w:type="page"/>
      </w:r>
    </w:p>
    <w:p w:rsidR="00F60B5F" w:rsidRPr="00F27D04" w:rsidRDefault="00F60B5F" w:rsidP="00AA7E47">
      <w:pPr>
        <w:pStyle w:val="Tableheading"/>
        <w:spacing w:before="220" w:after="100"/>
      </w:pPr>
    </w:p>
    <w:p w:rsidR="00F60B5F" w:rsidRDefault="00F60B5F" w:rsidP="00E1323B">
      <w:pPr>
        <w:pStyle w:val="million"/>
        <w:rPr>
          <w:rFonts w:ascii="Times New Roman" w:hAnsi="Times New Roman"/>
          <w:sz w:val="20"/>
          <w:lang w:eastAsia="en-AU"/>
        </w:rPr>
      </w:pPr>
    </w:p>
    <w:tbl>
      <w:tblPr>
        <w:tblW w:w="7760" w:type="dxa"/>
        <w:tblInd w:w="28" w:type="dxa"/>
        <w:tblLayout w:type="fixed"/>
        <w:tblCellMar>
          <w:left w:w="45" w:type="dxa"/>
          <w:right w:w="45" w:type="dxa"/>
        </w:tblCellMar>
        <w:tblLook w:val="0000" w:firstRow="0" w:lastRow="0" w:firstColumn="0" w:lastColumn="0" w:noHBand="0" w:noVBand="0"/>
      </w:tblPr>
      <w:tblGrid>
        <w:gridCol w:w="2807"/>
        <w:gridCol w:w="2250"/>
        <w:gridCol w:w="1351"/>
        <w:gridCol w:w="1352"/>
      </w:tblGrid>
      <w:tr w:rsidR="00F60B5F" w:rsidRPr="00E1323B" w:rsidTr="00E1323B">
        <w:tc>
          <w:tcPr>
            <w:tcW w:w="2807" w:type="dxa"/>
            <w:tcBorders>
              <w:top w:val="single" w:sz="6" w:space="0" w:color="000000"/>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Land, buildings, infrastructure, </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plant and equipment</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revaluation surplus</w:t>
            </w:r>
          </w:p>
        </w:tc>
        <w:tc>
          <w:tcPr>
            <w:tcW w:w="2250"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Investment in other</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sector </w:t>
            </w:r>
            <w:r w:rsidRPr="00E1323B">
              <w:rPr>
                <w:color w:val="FFFFFF"/>
              </w:rPr>
              <w:t>entities</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revaluation surplus</w:t>
            </w:r>
          </w:p>
        </w:tc>
        <w:tc>
          <w:tcPr>
            <w:tcW w:w="1351"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Other</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reserves</w:t>
            </w:r>
          </w:p>
        </w:tc>
        <w:tc>
          <w:tcPr>
            <w:tcW w:w="1352" w:type="dxa"/>
            <w:tcBorders>
              <w:top w:val="single" w:sz="6" w:space="0" w:color="000000"/>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Total</w:t>
            </w:r>
          </w:p>
        </w:tc>
      </w:tr>
      <w:tr w:rsidR="00F60B5F" w:rsidRPr="00E1323B" w:rsidTr="00E1323B">
        <w:tc>
          <w:tcPr>
            <w:tcW w:w="2807" w:type="dxa"/>
            <w:tcBorders>
              <w:top w:val="single" w:sz="6" w:space="0" w:color="000000"/>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c>
          <w:tcPr>
            <w:tcW w:w="225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1"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2"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75 552.6</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762.9</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1 889.8</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118 091.4</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(2 173.3</w:t>
            </w:r>
            <w:r w:rsidRPr="00E1323B">
              <w:rPr>
                <w:rFonts w:eastAsiaTheme="minorEastAsia" w:cs="Calibri"/>
                <w:lang w:eastAsia="en-AU"/>
              </w:rPr>
              <w:t>)</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2 533.1</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897.0</w:t>
            </w:r>
          </w:p>
        </w:tc>
        <w:tc>
          <w:tcPr>
            <w:tcW w:w="135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( 670.6)</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11 899.3</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Pr>
                <w:rFonts w:eastAsiaTheme="minorEastAsia"/>
                <w:lang w:eastAsia="en-AU"/>
              </w:rPr>
              <w:t>..</w:t>
            </w:r>
          </w:p>
        </w:tc>
      </w:tr>
      <w:tr w:rsidR="00F60B5F" w:rsidRPr="00E1323B" w:rsidTr="00E1323B">
        <w:tc>
          <w:tcPr>
            <w:tcW w:w="280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lang w:eastAsia="en-AU"/>
              </w:rPr>
            </w:pPr>
            <w:r w:rsidRPr="00E1323B">
              <w:rPr>
                <w:rFonts w:eastAsiaTheme="minorEastAsia"/>
                <w:b/>
                <w:lang w:eastAsia="en-AU"/>
              </w:rPr>
              <w:t>78 085.7</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1 659.9</w:t>
            </w:r>
          </w:p>
        </w:tc>
        <w:tc>
          <w:tcPr>
            <w:tcW w:w="135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1 219.2</w:t>
            </w:r>
          </w:p>
        </w:tc>
        <w:tc>
          <w:tcPr>
            <w:tcW w:w="135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127 817.4</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2"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78 085.7</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1 659.9</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1 219.2</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127 817.4</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( 604.8)</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4 038.0</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62.1</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16.7</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6 442.4</w:t>
            </w:r>
          </w:p>
        </w:tc>
      </w:tr>
      <w:tr w:rsidR="00F60B5F" w:rsidRPr="00E1323B" w:rsidTr="00E1323B">
        <w:tc>
          <w:tcPr>
            <w:tcW w:w="280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lang w:eastAsia="en-AU"/>
              </w:rPr>
            </w:pPr>
            <w:r w:rsidRPr="00E1323B">
              <w:rPr>
                <w:rFonts w:eastAsiaTheme="minorEastAsia"/>
                <w:b/>
                <w:lang w:eastAsia="en-AU"/>
              </w:rPr>
              <w:t>82 123.7</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1 722.0</w:t>
            </w:r>
          </w:p>
        </w:tc>
        <w:tc>
          <w:tcPr>
            <w:tcW w:w="135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1 236.0</w:t>
            </w:r>
          </w:p>
        </w:tc>
        <w:tc>
          <w:tcPr>
            <w:tcW w:w="135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133 655.0</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2"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78 085.7</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1 659.9</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1 219.2</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127 817.4</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( 512.8)</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2 687.2</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45.6</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50.3</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4 549.4</w:t>
            </w:r>
          </w:p>
        </w:tc>
      </w:tr>
      <w:tr w:rsidR="00F60B5F" w:rsidRPr="00E1323B" w:rsidTr="00E1323B">
        <w:tc>
          <w:tcPr>
            <w:tcW w:w="280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lang w:eastAsia="en-AU"/>
              </w:rPr>
            </w:pPr>
            <w:r w:rsidRPr="00E1323B">
              <w:rPr>
                <w:rFonts w:eastAsiaTheme="minorEastAsia"/>
                <w:b/>
                <w:lang w:eastAsia="en-AU"/>
              </w:rPr>
              <w:t>80 772.9</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1 705.5</w:t>
            </w:r>
          </w:p>
        </w:tc>
        <w:tc>
          <w:tcPr>
            <w:tcW w:w="135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1 269.5</w:t>
            </w:r>
          </w:p>
        </w:tc>
        <w:tc>
          <w:tcPr>
            <w:tcW w:w="135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131 854.0</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2"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80 772.9</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1 705.5</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1 269.5</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131 854.0</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241.4</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7 164.1</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114.4</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23.4</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7 430.4</w:t>
            </w:r>
          </w:p>
        </w:tc>
      </w:tr>
      <w:tr w:rsidR="00F60B5F" w:rsidRPr="00E1323B" w:rsidTr="00E1323B">
        <w:tc>
          <w:tcPr>
            <w:tcW w:w="280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lang w:eastAsia="en-AU"/>
              </w:rPr>
            </w:pPr>
            <w:r w:rsidRPr="00E1323B">
              <w:rPr>
                <w:rFonts w:eastAsiaTheme="minorEastAsia"/>
                <w:b/>
                <w:lang w:eastAsia="en-AU"/>
              </w:rPr>
              <w:t>87 937.0</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1 820.0</w:t>
            </w:r>
          </w:p>
        </w:tc>
        <w:tc>
          <w:tcPr>
            <w:tcW w:w="135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1 292.9</w:t>
            </w:r>
          </w:p>
        </w:tc>
        <w:tc>
          <w:tcPr>
            <w:tcW w:w="135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139 525.8</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2"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87 937.0</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1 820.0</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1 292.9</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139 525.8</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1 194.8</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2 864.6</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140.5</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52.4</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3 476.7</w:t>
            </w:r>
          </w:p>
        </w:tc>
      </w:tr>
      <w:tr w:rsidR="00F60B5F" w:rsidRPr="00E1323B" w:rsidTr="00E1323B">
        <w:tc>
          <w:tcPr>
            <w:tcW w:w="280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lang w:eastAsia="en-AU"/>
              </w:rPr>
            </w:pPr>
            <w:r w:rsidRPr="00E1323B">
              <w:rPr>
                <w:rFonts w:eastAsiaTheme="minorEastAsia"/>
                <w:b/>
                <w:lang w:eastAsia="en-AU"/>
              </w:rPr>
              <w:t>90 801.6</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1 960.5</w:t>
            </w:r>
          </w:p>
        </w:tc>
        <w:tc>
          <w:tcPr>
            <w:tcW w:w="135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1 345.3</w:t>
            </w:r>
          </w:p>
        </w:tc>
        <w:tc>
          <w:tcPr>
            <w:tcW w:w="135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144 197.2</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352"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90 801.6</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1 960.5</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1 345.3</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144 197.2</w:t>
            </w:r>
          </w:p>
        </w:tc>
      </w:tr>
      <w:tr w:rsidR="00F60B5F" w:rsidRPr="00E1323B" w:rsidTr="00E1323B">
        <w:tc>
          <w:tcPr>
            <w:tcW w:w="2807"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352"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1 810.4</w:t>
            </w:r>
          </w:p>
        </w:tc>
      </w:tr>
      <w:tr w:rsidR="00F60B5F" w:rsidRPr="00E1323B" w:rsidTr="00E1323B">
        <w:tc>
          <w:tcPr>
            <w:tcW w:w="2807"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1 696.9</w:t>
            </w:r>
          </w:p>
        </w:tc>
        <w:tc>
          <w:tcPr>
            <w:tcW w:w="2250"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112.8</w:t>
            </w:r>
          </w:p>
        </w:tc>
        <w:tc>
          <w:tcPr>
            <w:tcW w:w="1351"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51.2</w:t>
            </w:r>
          </w:p>
        </w:tc>
        <w:tc>
          <w:tcPr>
            <w:tcW w:w="1352"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2 536.6</w:t>
            </w:r>
          </w:p>
        </w:tc>
      </w:tr>
      <w:tr w:rsidR="00F60B5F" w:rsidRPr="00E1323B" w:rsidTr="00E1323B">
        <w:tc>
          <w:tcPr>
            <w:tcW w:w="280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lang w:eastAsia="en-AU"/>
              </w:rPr>
            </w:pPr>
            <w:r w:rsidRPr="00E1323B">
              <w:rPr>
                <w:rFonts w:eastAsiaTheme="minorEastAsia"/>
                <w:b/>
                <w:lang w:eastAsia="en-AU"/>
              </w:rPr>
              <w:t>92 498.4</w:t>
            </w:r>
          </w:p>
        </w:tc>
        <w:tc>
          <w:tcPr>
            <w:tcW w:w="2250"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2 073.3</w:t>
            </w:r>
          </w:p>
        </w:tc>
        <w:tc>
          <w:tcPr>
            <w:tcW w:w="135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1 396.4</w:t>
            </w:r>
          </w:p>
        </w:tc>
        <w:tc>
          <w:tcPr>
            <w:tcW w:w="135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148 544.2</w:t>
            </w:r>
          </w:p>
        </w:tc>
      </w:tr>
    </w:tbl>
    <w:p w:rsidR="00F60B5F" w:rsidRPr="00F27D04" w:rsidRDefault="00F60B5F" w:rsidP="00250CAA"/>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6.12:</w:t>
      </w:r>
      <w:r w:rsidRPr="00F27D04">
        <w:tab/>
        <w:t>Derivation of non</w:t>
      </w:r>
      <w:r>
        <w:noBreakHyphen/>
      </w:r>
      <w:r w:rsidRPr="00F27D04">
        <w:t>financial public sector GFS cash surplus/(deficit)</w:t>
      </w:r>
    </w:p>
    <w:p w:rsidR="00F60B5F" w:rsidRPr="00E1323B" w:rsidRDefault="00F60B5F" w:rsidP="00E1323B">
      <w:pPr>
        <w:pStyle w:val="million"/>
      </w:pPr>
      <w:r w:rsidRPr="00F27D04">
        <w:t>($</w:t>
      </w:r>
      <w:r>
        <w:t> million</w:t>
      </w:r>
      <w:r w:rsidRPr="00F27D04">
        <w:t>)</w:t>
      </w:r>
    </w:p>
    <w:tbl>
      <w:tblPr>
        <w:tblW w:w="7760" w:type="dxa"/>
        <w:tblInd w:w="28" w:type="dxa"/>
        <w:tblLayout w:type="fixed"/>
        <w:tblCellMar>
          <w:left w:w="43" w:type="dxa"/>
          <w:right w:w="43" w:type="dxa"/>
        </w:tblCellMar>
        <w:tblLook w:val="0000" w:firstRow="0" w:lastRow="0" w:firstColumn="0" w:lastColumn="0" w:noHBand="0" w:noVBand="0"/>
      </w:tblPr>
      <w:tblGrid>
        <w:gridCol w:w="2445"/>
        <w:gridCol w:w="900"/>
        <w:gridCol w:w="847"/>
        <w:gridCol w:w="892"/>
        <w:gridCol w:w="892"/>
        <w:gridCol w:w="892"/>
        <w:gridCol w:w="892"/>
      </w:tblGrid>
      <w:tr w:rsidR="00F60B5F" w:rsidRPr="00596C71" w:rsidTr="00596C71">
        <w:tc>
          <w:tcPr>
            <w:tcW w:w="2445" w:type="dxa"/>
            <w:tcBorders>
              <w:top w:val="single" w:sz="6" w:space="0" w:color="000000"/>
              <w:left w:val="single" w:sz="6" w:space="0" w:color="000000"/>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 xml:space="preserve"> </w:t>
            </w:r>
          </w:p>
        </w:tc>
        <w:tc>
          <w:tcPr>
            <w:tcW w:w="900"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2012</w:t>
            </w:r>
            <w:r>
              <w:rPr>
                <w:rFonts w:eastAsiaTheme="minorEastAsia"/>
                <w:sz w:val="19"/>
                <w:lang w:eastAsia="en-AU"/>
              </w:rPr>
              <w:noBreakHyphen/>
            </w:r>
            <w:r w:rsidRPr="00596C71">
              <w:rPr>
                <w:rFonts w:eastAsiaTheme="minorEastAsia"/>
                <w:sz w:val="19"/>
                <w:lang w:eastAsia="en-AU"/>
              </w:rPr>
              <w:t>13</w:t>
            </w:r>
          </w:p>
        </w:tc>
        <w:tc>
          <w:tcPr>
            <w:tcW w:w="847"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2013</w:t>
            </w:r>
            <w:r>
              <w:rPr>
                <w:rFonts w:eastAsiaTheme="minorEastAsia"/>
                <w:sz w:val="19"/>
                <w:lang w:eastAsia="en-AU"/>
              </w:rPr>
              <w:noBreakHyphen/>
            </w:r>
            <w:r w:rsidRPr="00596C71">
              <w:rPr>
                <w:rFonts w:eastAsiaTheme="minorEastAsia"/>
                <w:sz w:val="19"/>
                <w:lang w:eastAsia="en-AU"/>
              </w:rPr>
              <w:t>14</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2013</w:t>
            </w:r>
            <w:r>
              <w:rPr>
                <w:rFonts w:eastAsiaTheme="minorEastAsia"/>
                <w:sz w:val="19"/>
                <w:lang w:eastAsia="en-AU"/>
              </w:rPr>
              <w:noBreakHyphen/>
            </w:r>
            <w:r w:rsidRPr="00596C71">
              <w:rPr>
                <w:rFonts w:eastAsiaTheme="minorEastAsia"/>
                <w:sz w:val="19"/>
                <w:lang w:eastAsia="en-AU"/>
              </w:rPr>
              <w:t>14</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2014</w:t>
            </w:r>
            <w:r>
              <w:rPr>
                <w:rFonts w:eastAsiaTheme="minorEastAsia"/>
                <w:sz w:val="19"/>
                <w:lang w:eastAsia="en-AU"/>
              </w:rPr>
              <w:noBreakHyphen/>
            </w:r>
            <w:r w:rsidRPr="00596C71">
              <w:rPr>
                <w:rFonts w:eastAsiaTheme="minorEastAsia"/>
                <w:sz w:val="19"/>
                <w:lang w:eastAsia="en-AU"/>
              </w:rPr>
              <w:t>15</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2015</w:t>
            </w:r>
            <w:r>
              <w:rPr>
                <w:rFonts w:eastAsiaTheme="minorEastAsia"/>
                <w:sz w:val="19"/>
                <w:lang w:eastAsia="en-AU"/>
              </w:rPr>
              <w:noBreakHyphen/>
            </w:r>
            <w:r w:rsidRPr="00596C71">
              <w:rPr>
                <w:rFonts w:eastAsiaTheme="minorEastAsia"/>
                <w:sz w:val="19"/>
                <w:lang w:eastAsia="en-AU"/>
              </w:rPr>
              <w:t>16</w:t>
            </w:r>
          </w:p>
        </w:tc>
        <w:tc>
          <w:tcPr>
            <w:tcW w:w="892" w:type="dxa"/>
            <w:tcBorders>
              <w:top w:val="single" w:sz="6" w:space="0" w:color="000000"/>
              <w:left w:val="nil"/>
              <w:bottom w:val="nil"/>
              <w:right w:val="single" w:sz="6" w:space="0" w:color="000000"/>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2016</w:t>
            </w:r>
            <w:r>
              <w:rPr>
                <w:rFonts w:eastAsiaTheme="minorEastAsia"/>
                <w:sz w:val="19"/>
                <w:lang w:eastAsia="en-AU"/>
              </w:rPr>
              <w:noBreakHyphen/>
            </w:r>
            <w:r w:rsidRPr="00596C71">
              <w:rPr>
                <w:rFonts w:eastAsiaTheme="minorEastAsia"/>
                <w:sz w:val="19"/>
                <w:lang w:eastAsia="en-AU"/>
              </w:rPr>
              <w:t>17</w:t>
            </w:r>
          </w:p>
        </w:tc>
      </w:tr>
      <w:tr w:rsidR="00F60B5F" w:rsidRPr="00596C71" w:rsidTr="00596C71">
        <w:tc>
          <w:tcPr>
            <w:tcW w:w="2445" w:type="dxa"/>
            <w:tcBorders>
              <w:left w:val="single" w:sz="6" w:space="0" w:color="000000"/>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 xml:space="preserve"> </w:t>
            </w:r>
          </w:p>
        </w:tc>
        <w:tc>
          <w:tcPr>
            <w:tcW w:w="900"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Actual</w:t>
            </w:r>
          </w:p>
        </w:tc>
        <w:tc>
          <w:tcPr>
            <w:tcW w:w="847"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Budget</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Revised</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c>
          <w:tcPr>
            <w:tcW w:w="892" w:type="dxa"/>
            <w:tcBorders>
              <w:left w:val="nil"/>
              <w:bottom w:val="single" w:sz="6" w:space="0" w:color="000000"/>
              <w:right w:val="single" w:sz="6" w:space="0" w:color="000000"/>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r>
      <w:tr w:rsidR="00F60B5F" w:rsidRPr="00596C71" w:rsidTr="00596C71">
        <w:tc>
          <w:tcPr>
            <w:tcW w:w="2445" w:type="dxa"/>
            <w:tcBorders>
              <w:top w:val="single" w:sz="6" w:space="0" w:color="000000"/>
              <w:left w:val="nil"/>
              <w:bottom w:val="nil"/>
              <w:right w:val="nil"/>
            </w:tcBorders>
          </w:tcPr>
          <w:p w:rsidR="00F60B5F" w:rsidRPr="00596C71" w:rsidRDefault="00F60B5F" w:rsidP="00E1323B">
            <w:pPr>
              <w:pStyle w:val="Tabletext"/>
              <w:rPr>
                <w:rFonts w:eastAsiaTheme="minorEastAsia"/>
                <w:b/>
                <w:sz w:val="19"/>
                <w:lang w:eastAsia="en-AU"/>
              </w:rPr>
            </w:pPr>
            <w:r w:rsidRPr="00596C71">
              <w:rPr>
                <w:rFonts w:eastAsiaTheme="minorEastAsia"/>
                <w:b/>
                <w:sz w:val="19"/>
                <w:lang w:eastAsia="en-AU"/>
              </w:rPr>
              <w:t xml:space="preserve">Cash surplus/(deficit) </w:t>
            </w:r>
          </w:p>
        </w:tc>
        <w:tc>
          <w:tcPr>
            <w:tcW w:w="900"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(4 914.7)</w:t>
            </w:r>
          </w:p>
        </w:tc>
        <w:tc>
          <w:tcPr>
            <w:tcW w:w="847"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(4 045.7)</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cs="Calibri"/>
                <w:b/>
                <w:bCs/>
                <w:sz w:val="19"/>
                <w:lang w:eastAsia="en-AU"/>
              </w:rPr>
            </w:pPr>
            <w:r w:rsidRPr="00596C71">
              <w:rPr>
                <w:rFonts w:eastAsiaTheme="minorEastAsia"/>
                <w:b/>
                <w:bCs/>
                <w:sz w:val="19"/>
                <w:lang w:eastAsia="en-AU"/>
              </w:rPr>
              <w:t xml:space="preserve">(3 </w:t>
            </w:r>
            <w:r w:rsidRPr="00596C71">
              <w:rPr>
                <w:rFonts w:eastAsiaTheme="minorEastAsia" w:cs="Calibri"/>
                <w:b/>
                <w:bCs/>
                <w:sz w:val="19"/>
                <w:lang w:eastAsia="en-AU"/>
              </w:rPr>
              <w:t>920.6)</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(2 741.2)</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885.4</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cs="Calibri"/>
                <w:b/>
                <w:bCs/>
                <w:color w:val="0000FF"/>
                <w:sz w:val="19"/>
                <w:lang w:eastAsia="en-AU"/>
              </w:rPr>
            </w:pPr>
            <w:r w:rsidRPr="00596C71">
              <w:rPr>
                <w:rFonts w:eastAsiaTheme="minorEastAsia"/>
                <w:b/>
                <w:bCs/>
                <w:sz w:val="19"/>
                <w:lang w:eastAsia="en-AU"/>
              </w:rPr>
              <w:t>1 069.6</w:t>
            </w:r>
          </w:p>
        </w:tc>
      </w:tr>
      <w:tr w:rsidR="00F60B5F" w:rsidRPr="00596C71" w:rsidTr="00596C71">
        <w:tc>
          <w:tcPr>
            <w:tcW w:w="2445" w:type="dxa"/>
            <w:tcBorders>
              <w:top w:val="nil"/>
              <w:left w:val="nil"/>
              <w:bottom w:val="nil"/>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Convergence differences:</w:t>
            </w:r>
          </w:p>
        </w:tc>
        <w:tc>
          <w:tcPr>
            <w:tcW w:w="900"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p>
        </w:tc>
        <w:tc>
          <w:tcPr>
            <w:tcW w:w="847"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ascii="Arial" w:eastAsiaTheme="minorEastAsia" w:hAnsi="Arial" w:cs="Arial"/>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ascii="Arial" w:eastAsiaTheme="minorEastAsia" w:hAnsi="Arial" w:cs="Arial"/>
                <w:sz w:val="19"/>
                <w:lang w:eastAsia="en-AU"/>
              </w:rPr>
            </w:pPr>
          </w:p>
        </w:tc>
      </w:tr>
      <w:tr w:rsidR="00F60B5F" w:rsidRPr="00596C71" w:rsidTr="00596C71">
        <w:tc>
          <w:tcPr>
            <w:tcW w:w="2445" w:type="dxa"/>
            <w:tcBorders>
              <w:top w:val="nil"/>
              <w:left w:val="nil"/>
              <w:bottom w:val="single" w:sz="6" w:space="0" w:color="auto"/>
              <w:right w:val="nil"/>
            </w:tcBorders>
          </w:tcPr>
          <w:p w:rsidR="00F60B5F" w:rsidRPr="00596C71" w:rsidRDefault="00F60B5F" w:rsidP="00E1323B">
            <w:pPr>
              <w:pStyle w:val="Tabletext"/>
              <w:rPr>
                <w:rFonts w:eastAsiaTheme="minorEastAsia"/>
                <w:sz w:val="19"/>
                <w:vertAlign w:val="superscript"/>
                <w:lang w:eastAsia="en-AU"/>
              </w:rPr>
            </w:pPr>
            <w:r w:rsidRPr="00596C71">
              <w:rPr>
                <w:rFonts w:eastAsiaTheme="minorEastAsia"/>
                <w:sz w:val="19"/>
                <w:lang w:eastAsia="en-AU"/>
              </w:rPr>
              <w:t xml:space="preserve">Acquisitions under finance leases and similar arrangements </w:t>
            </w:r>
            <w:r w:rsidRPr="00596C71">
              <w:rPr>
                <w:rFonts w:eastAsiaTheme="minorEastAsia"/>
                <w:sz w:val="19"/>
                <w:vertAlign w:val="superscript"/>
                <w:lang w:eastAsia="en-AU"/>
              </w:rPr>
              <w:t>(a)</w:t>
            </w:r>
          </w:p>
        </w:tc>
        <w:tc>
          <w:tcPr>
            <w:tcW w:w="900" w:type="dxa"/>
            <w:tcBorders>
              <w:top w:val="nil"/>
              <w:left w:val="nil"/>
              <w:bottom w:val="single" w:sz="6" w:space="0" w:color="auto"/>
              <w:right w:val="nil"/>
            </w:tcBorders>
          </w:tcPr>
          <w:p w:rsidR="00F60B5F" w:rsidRPr="00596C71" w:rsidRDefault="00F60B5F" w:rsidP="00E1323B">
            <w:pPr>
              <w:pStyle w:val="TableofFigures"/>
              <w:rPr>
                <w:rFonts w:eastAsiaTheme="minorEastAsia" w:cs="Calibri"/>
                <w:sz w:val="19"/>
                <w:lang w:eastAsia="en-AU"/>
              </w:rPr>
            </w:pPr>
            <w:r w:rsidRPr="00596C71">
              <w:rPr>
                <w:rFonts w:eastAsiaTheme="minorEastAsia"/>
                <w:sz w:val="19"/>
                <w:lang w:eastAsia="en-AU"/>
              </w:rPr>
              <w:t>(5 433.8</w:t>
            </w:r>
            <w:r w:rsidRPr="00596C71">
              <w:rPr>
                <w:rFonts w:eastAsiaTheme="minorEastAsia" w:cs="Calibri"/>
                <w:sz w:val="19"/>
                <w:lang w:eastAsia="en-AU"/>
              </w:rPr>
              <w:t>)</w:t>
            </w:r>
          </w:p>
        </w:tc>
        <w:tc>
          <w:tcPr>
            <w:tcW w:w="847"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( 111.0)</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cs="Calibri"/>
                <w:sz w:val="19"/>
                <w:lang w:eastAsia="en-AU"/>
              </w:rPr>
            </w:pPr>
            <w:r w:rsidRPr="00596C71">
              <w:rPr>
                <w:rFonts w:eastAsiaTheme="minorEastAsia"/>
                <w:sz w:val="19"/>
                <w:lang w:eastAsia="en-AU"/>
              </w:rPr>
              <w:t>( 36.4</w:t>
            </w:r>
            <w:r w:rsidRPr="00596C71">
              <w:rPr>
                <w:rFonts w:eastAsiaTheme="minorEastAsia" w:cs="Calibri"/>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cs="Calibri"/>
                <w:sz w:val="19"/>
                <w:lang w:eastAsia="en-AU"/>
              </w:rPr>
            </w:pPr>
            <w:r w:rsidRPr="00596C71">
              <w:rPr>
                <w:rFonts w:eastAsiaTheme="minorEastAsia"/>
                <w:sz w:val="19"/>
                <w:lang w:eastAsia="en-AU"/>
              </w:rPr>
              <w:t xml:space="preserve">(1 </w:t>
            </w:r>
            <w:r w:rsidRPr="00596C71">
              <w:rPr>
                <w:rFonts w:eastAsiaTheme="minorEastAsia" w:cs="Calibri"/>
                <w:sz w:val="19"/>
                <w:lang w:eastAsia="en-AU"/>
              </w:rPr>
              <w:t>050.4)</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( 279.3)</w:t>
            </w:r>
          </w:p>
        </w:tc>
      </w:tr>
      <w:tr w:rsidR="00F60B5F" w:rsidRPr="00596C71" w:rsidTr="00596C71">
        <w:tc>
          <w:tcPr>
            <w:tcW w:w="2445"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text"/>
              <w:rPr>
                <w:rFonts w:eastAsiaTheme="minorEastAsia"/>
                <w:b/>
                <w:sz w:val="19"/>
                <w:vertAlign w:val="superscript"/>
                <w:lang w:eastAsia="en-AU"/>
              </w:rPr>
            </w:pPr>
            <w:r w:rsidRPr="00596C71">
              <w:rPr>
                <w:rFonts w:eastAsiaTheme="minorEastAsia"/>
                <w:b/>
                <w:sz w:val="19"/>
                <w:lang w:eastAsia="en-AU"/>
              </w:rPr>
              <w:t xml:space="preserve">GFS cash surplus/(deficit) </w:t>
            </w:r>
            <w:r w:rsidRPr="00596C71">
              <w:rPr>
                <w:rFonts w:eastAsiaTheme="minorEastAsia"/>
                <w:b/>
                <w:sz w:val="19"/>
                <w:vertAlign w:val="superscript"/>
                <w:lang w:eastAsia="en-AU"/>
              </w:rPr>
              <w:t>(b)</w:t>
            </w:r>
          </w:p>
        </w:tc>
        <w:tc>
          <w:tcPr>
            <w:tcW w:w="900"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(10 348.5)</w:t>
            </w:r>
          </w:p>
        </w:tc>
        <w:tc>
          <w:tcPr>
            <w:tcW w:w="847"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(4 045.7)</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(4 031.6)</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(2 777.6)</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cs="Calibri"/>
                <w:b/>
                <w:bCs/>
                <w:sz w:val="19"/>
                <w:lang w:eastAsia="en-AU"/>
              </w:rPr>
            </w:pPr>
            <w:r w:rsidRPr="00596C71">
              <w:rPr>
                <w:rFonts w:eastAsiaTheme="minorEastAsia"/>
                <w:b/>
                <w:bCs/>
                <w:sz w:val="19"/>
                <w:lang w:eastAsia="en-AU"/>
              </w:rPr>
              <w:t>( 165.0</w:t>
            </w:r>
            <w:r w:rsidRPr="00596C71">
              <w:rPr>
                <w:rFonts w:eastAsiaTheme="minorEastAsia" w:cs="Calibri"/>
                <w:b/>
                <w:bCs/>
                <w:sz w:val="19"/>
                <w:lang w:eastAsia="en-AU"/>
              </w:rPr>
              <w:t>)</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790.3</w:t>
            </w:r>
          </w:p>
        </w:tc>
      </w:tr>
    </w:tbl>
    <w:p w:rsidR="00F60B5F" w:rsidRPr="00F27D04" w:rsidRDefault="00F60B5F" w:rsidP="005064BB">
      <w:pPr>
        <w:pStyle w:val="Source"/>
      </w:pPr>
      <w:r w:rsidRPr="00F27D04">
        <w:t>Source: Department of Treasury and Finance</w:t>
      </w:r>
    </w:p>
    <w:p w:rsidR="00F60B5F" w:rsidRPr="00F27D04" w:rsidRDefault="00F60B5F" w:rsidP="005064BB">
      <w:pPr>
        <w:pStyle w:val="Notes"/>
      </w:pPr>
      <w:r w:rsidRPr="00F27D04">
        <w:t>Notes:</w:t>
      </w:r>
    </w:p>
    <w:p w:rsidR="00F60B5F" w:rsidRPr="00F27D04" w:rsidRDefault="00F60B5F" w:rsidP="005064BB">
      <w:pPr>
        <w:pStyle w:val="Notes"/>
      </w:pPr>
      <w:r w:rsidRPr="00F27D04">
        <w:t xml:space="preserve">(a) </w:t>
      </w:r>
      <w:r w:rsidRPr="00F27D04">
        <w:tab/>
        <w:t>The 2012</w:t>
      </w:r>
      <w:r>
        <w:noBreakHyphen/>
      </w:r>
      <w:r w:rsidRPr="00F27D04">
        <w:t>13 actual reflects the recognition of the finance lease for the desalination plant.</w:t>
      </w:r>
    </w:p>
    <w:p w:rsidR="00F60B5F" w:rsidRPr="00F27D04" w:rsidRDefault="00F60B5F" w:rsidP="005064BB">
      <w:pPr>
        <w:pStyle w:val="Notes"/>
      </w:pPr>
      <w:r w:rsidRPr="00F27D04">
        <w:t xml:space="preserve">(b) </w:t>
      </w:r>
      <w:r w:rsidRPr="00F27D04">
        <w:tab/>
        <w:t>Determined in accordance with ABS GFS manual.</w:t>
      </w:r>
    </w:p>
    <w:p w:rsidR="00F60B5F" w:rsidRDefault="00F60B5F" w:rsidP="005064BB">
      <w:pPr>
        <w:pStyle w:val="Notes"/>
      </w:pPr>
    </w:p>
    <w:p w:rsidR="00F60B5F" w:rsidRPr="00F27D04" w:rsidRDefault="00F60B5F" w:rsidP="005064BB">
      <w:pPr>
        <w:pStyle w:val="Notes"/>
      </w:pPr>
    </w:p>
    <w:p w:rsidR="00F60B5F" w:rsidRPr="00F27D04" w:rsidRDefault="00F60B5F" w:rsidP="005064BB">
      <w:pPr>
        <w:pStyle w:val="Notes"/>
      </w:pPr>
    </w:p>
    <w:p w:rsidR="00F60B5F" w:rsidRPr="00F27D04" w:rsidRDefault="00F60B5F" w:rsidP="00250CAA">
      <w:pPr>
        <w:pStyle w:val="Tableheading"/>
      </w:pPr>
      <w:r w:rsidRPr="00F27D04">
        <w:t>Table 6.13:</w:t>
      </w:r>
      <w:r w:rsidRPr="00F27D04">
        <w:tab/>
        <w:t>Net acquisition of non</w:t>
      </w:r>
      <w:r>
        <w:noBreakHyphen/>
      </w:r>
      <w:r w:rsidRPr="00F27D04">
        <w:t>financial assets – non</w:t>
      </w:r>
      <w:r>
        <w:noBreakHyphen/>
      </w:r>
      <w:r w:rsidRPr="00F27D04">
        <w:t>financial public sector</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892"/>
        <w:gridCol w:w="892"/>
        <w:gridCol w:w="892"/>
        <w:gridCol w:w="892"/>
        <w:gridCol w:w="892"/>
        <w:gridCol w:w="892"/>
      </w:tblGrid>
      <w:tr w:rsidR="00F60B5F" w:rsidRPr="00596C71" w:rsidTr="00E1323B">
        <w:tc>
          <w:tcPr>
            <w:tcW w:w="2408" w:type="dxa"/>
            <w:tcBorders>
              <w:top w:val="single" w:sz="6" w:space="0" w:color="000000"/>
              <w:left w:val="single" w:sz="6" w:space="0" w:color="000000"/>
              <w:bottom w:val="nil"/>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 xml:space="preserve"> </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2012</w:t>
            </w:r>
            <w:r>
              <w:rPr>
                <w:rFonts w:eastAsiaTheme="minorEastAsia"/>
                <w:sz w:val="19"/>
                <w:lang w:eastAsia="en-AU"/>
              </w:rPr>
              <w:noBreakHyphen/>
            </w:r>
            <w:r w:rsidRPr="00596C71">
              <w:rPr>
                <w:rFonts w:eastAsiaTheme="minorEastAsia"/>
                <w:sz w:val="19"/>
                <w:lang w:eastAsia="en-AU"/>
              </w:rPr>
              <w:t>13</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2013</w:t>
            </w:r>
            <w:r>
              <w:rPr>
                <w:rFonts w:eastAsiaTheme="minorEastAsia"/>
                <w:sz w:val="19"/>
                <w:lang w:eastAsia="en-AU"/>
              </w:rPr>
              <w:noBreakHyphen/>
            </w:r>
            <w:r w:rsidRPr="00596C71">
              <w:rPr>
                <w:rFonts w:eastAsiaTheme="minorEastAsia"/>
                <w:sz w:val="19"/>
                <w:lang w:eastAsia="en-AU"/>
              </w:rPr>
              <w:t>14</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2013</w:t>
            </w:r>
            <w:r>
              <w:rPr>
                <w:rFonts w:eastAsiaTheme="minorEastAsia"/>
                <w:sz w:val="19"/>
                <w:lang w:eastAsia="en-AU"/>
              </w:rPr>
              <w:noBreakHyphen/>
            </w:r>
            <w:r w:rsidRPr="00596C71">
              <w:rPr>
                <w:rFonts w:eastAsiaTheme="minorEastAsia"/>
                <w:sz w:val="19"/>
                <w:lang w:eastAsia="en-AU"/>
              </w:rPr>
              <w:t>14</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2014</w:t>
            </w:r>
            <w:r>
              <w:rPr>
                <w:rFonts w:eastAsiaTheme="minorEastAsia"/>
                <w:sz w:val="19"/>
                <w:lang w:eastAsia="en-AU"/>
              </w:rPr>
              <w:noBreakHyphen/>
            </w:r>
            <w:r w:rsidRPr="00596C71">
              <w:rPr>
                <w:rFonts w:eastAsiaTheme="minorEastAsia"/>
                <w:sz w:val="19"/>
                <w:lang w:eastAsia="en-AU"/>
              </w:rPr>
              <w:t>15</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2015</w:t>
            </w:r>
            <w:r>
              <w:rPr>
                <w:rFonts w:eastAsiaTheme="minorEastAsia"/>
                <w:sz w:val="19"/>
                <w:lang w:eastAsia="en-AU"/>
              </w:rPr>
              <w:noBreakHyphen/>
            </w:r>
            <w:r w:rsidRPr="00596C71">
              <w:rPr>
                <w:rFonts w:eastAsiaTheme="minorEastAsia"/>
                <w:sz w:val="19"/>
                <w:lang w:eastAsia="en-AU"/>
              </w:rPr>
              <w:t>16</w:t>
            </w:r>
          </w:p>
        </w:tc>
        <w:tc>
          <w:tcPr>
            <w:tcW w:w="892" w:type="dxa"/>
            <w:tcBorders>
              <w:top w:val="single" w:sz="6" w:space="0" w:color="000000"/>
              <w:left w:val="nil"/>
              <w:bottom w:val="nil"/>
              <w:right w:val="single" w:sz="6" w:space="0" w:color="000000"/>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2016</w:t>
            </w:r>
            <w:r>
              <w:rPr>
                <w:rFonts w:eastAsiaTheme="minorEastAsia"/>
                <w:sz w:val="19"/>
                <w:lang w:eastAsia="en-AU"/>
              </w:rPr>
              <w:noBreakHyphen/>
            </w:r>
            <w:r w:rsidRPr="00596C71">
              <w:rPr>
                <w:rFonts w:eastAsiaTheme="minorEastAsia"/>
                <w:sz w:val="19"/>
                <w:lang w:eastAsia="en-AU"/>
              </w:rPr>
              <w:t>17</w:t>
            </w:r>
          </w:p>
        </w:tc>
      </w:tr>
      <w:tr w:rsidR="00F60B5F" w:rsidRPr="00596C71" w:rsidTr="00E1323B">
        <w:tc>
          <w:tcPr>
            <w:tcW w:w="2408" w:type="dxa"/>
            <w:tcBorders>
              <w:left w:val="single" w:sz="6" w:space="0" w:color="000000"/>
              <w:bottom w:val="single" w:sz="6" w:space="0" w:color="000000"/>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 xml:space="preserve"> </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Actual</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Revised</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c>
          <w:tcPr>
            <w:tcW w:w="892" w:type="dxa"/>
            <w:tcBorders>
              <w:left w:val="nil"/>
              <w:bottom w:val="single" w:sz="6" w:space="0" w:color="000000"/>
              <w:right w:val="single" w:sz="6" w:space="0" w:color="000000"/>
            </w:tcBorders>
            <w:shd w:val="clear" w:color="000000"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r>
      <w:tr w:rsidR="00F60B5F" w:rsidRPr="00596C71" w:rsidTr="00E1323B">
        <w:tc>
          <w:tcPr>
            <w:tcW w:w="2408" w:type="dxa"/>
            <w:tcBorders>
              <w:top w:val="single" w:sz="6" w:space="0" w:color="000000"/>
              <w:left w:val="nil"/>
              <w:bottom w:val="nil"/>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Purchases of non</w:t>
            </w:r>
            <w:r>
              <w:rPr>
                <w:rFonts w:eastAsiaTheme="minorEastAsia"/>
                <w:sz w:val="19"/>
                <w:lang w:eastAsia="en-AU"/>
              </w:rPr>
              <w:noBreakHyphen/>
            </w:r>
            <w:r w:rsidRPr="00596C71">
              <w:rPr>
                <w:rFonts w:eastAsiaTheme="minorEastAsia"/>
                <w:sz w:val="19"/>
                <w:lang w:eastAsia="en-AU"/>
              </w:rPr>
              <w:t>financial assets</w:t>
            </w:r>
          </w:p>
        </w:tc>
        <w:tc>
          <w:tcPr>
            <w:tcW w:w="892" w:type="dxa"/>
            <w:tcBorders>
              <w:top w:val="single" w:sz="6" w:space="0" w:color="000000"/>
              <w:left w:val="nil"/>
              <w:bottom w:val="nil"/>
              <w:right w:val="nil"/>
            </w:tcBorders>
          </w:tcPr>
          <w:p w:rsidR="00F60B5F" w:rsidRPr="00596C71" w:rsidRDefault="00F60B5F" w:rsidP="00E1323B">
            <w:pPr>
              <w:pStyle w:val="TableofFigures"/>
              <w:rPr>
                <w:rFonts w:cs="Calibri"/>
                <w:sz w:val="19"/>
              </w:rPr>
            </w:pPr>
            <w:r w:rsidRPr="00596C71">
              <w:rPr>
                <w:rFonts w:cs="Calibri"/>
                <w:sz w:val="19"/>
              </w:rPr>
              <w:t>7 816.6</w:t>
            </w:r>
          </w:p>
        </w:tc>
        <w:tc>
          <w:tcPr>
            <w:tcW w:w="892" w:type="dxa"/>
            <w:tcBorders>
              <w:top w:val="single" w:sz="6" w:space="0" w:color="000000"/>
              <w:left w:val="nil"/>
              <w:bottom w:val="nil"/>
              <w:right w:val="nil"/>
            </w:tcBorders>
          </w:tcPr>
          <w:p w:rsidR="00F60B5F" w:rsidRPr="00596C71" w:rsidRDefault="00F60B5F" w:rsidP="00E1323B">
            <w:pPr>
              <w:pStyle w:val="TableofFigures"/>
              <w:rPr>
                <w:rFonts w:cs="Calibri"/>
                <w:sz w:val="19"/>
              </w:rPr>
            </w:pPr>
            <w:r w:rsidRPr="00596C71">
              <w:rPr>
                <w:rFonts w:cs="Calibri"/>
                <w:sz w:val="19"/>
              </w:rPr>
              <w:t>8 550.7</w:t>
            </w:r>
          </w:p>
        </w:tc>
        <w:tc>
          <w:tcPr>
            <w:tcW w:w="892" w:type="dxa"/>
            <w:tcBorders>
              <w:top w:val="single" w:sz="6" w:space="0" w:color="000000"/>
              <w:left w:val="nil"/>
              <w:bottom w:val="nil"/>
              <w:right w:val="nil"/>
            </w:tcBorders>
          </w:tcPr>
          <w:p w:rsidR="00F60B5F" w:rsidRPr="00596C71" w:rsidRDefault="00F60B5F" w:rsidP="00E1323B">
            <w:pPr>
              <w:pStyle w:val="TableofFigures"/>
              <w:rPr>
                <w:rFonts w:cs="Calibri"/>
                <w:sz w:val="19"/>
              </w:rPr>
            </w:pPr>
            <w:r w:rsidRPr="00596C71">
              <w:rPr>
                <w:rFonts w:cs="Calibri"/>
                <w:sz w:val="19"/>
              </w:rPr>
              <w:t>8 085.8</w:t>
            </w:r>
          </w:p>
        </w:tc>
        <w:tc>
          <w:tcPr>
            <w:tcW w:w="892" w:type="dxa"/>
            <w:tcBorders>
              <w:top w:val="single" w:sz="6" w:space="0" w:color="000000"/>
              <w:left w:val="nil"/>
              <w:bottom w:val="nil"/>
              <w:right w:val="nil"/>
            </w:tcBorders>
          </w:tcPr>
          <w:p w:rsidR="00F60B5F" w:rsidRPr="00596C71" w:rsidRDefault="00F60B5F" w:rsidP="00E1323B">
            <w:pPr>
              <w:pStyle w:val="TableofFigures"/>
              <w:rPr>
                <w:rFonts w:cs="Calibri"/>
                <w:sz w:val="19"/>
              </w:rPr>
            </w:pPr>
            <w:r w:rsidRPr="00596C71">
              <w:rPr>
                <w:rFonts w:cs="Calibri"/>
                <w:sz w:val="19"/>
              </w:rPr>
              <w:t>7 977.6</w:t>
            </w:r>
          </w:p>
        </w:tc>
        <w:tc>
          <w:tcPr>
            <w:tcW w:w="892" w:type="dxa"/>
            <w:tcBorders>
              <w:top w:val="single" w:sz="6" w:space="0" w:color="000000"/>
              <w:left w:val="nil"/>
              <w:bottom w:val="nil"/>
              <w:right w:val="nil"/>
            </w:tcBorders>
          </w:tcPr>
          <w:p w:rsidR="00F60B5F" w:rsidRPr="00596C71" w:rsidRDefault="00F60B5F" w:rsidP="00E1323B">
            <w:pPr>
              <w:pStyle w:val="TableofFigures"/>
              <w:rPr>
                <w:rFonts w:cs="Calibri"/>
                <w:sz w:val="19"/>
              </w:rPr>
            </w:pPr>
            <w:r w:rsidRPr="00596C71">
              <w:rPr>
                <w:rFonts w:cs="Calibri"/>
                <w:sz w:val="19"/>
              </w:rPr>
              <w:t>5 699.2</w:t>
            </w:r>
          </w:p>
        </w:tc>
        <w:tc>
          <w:tcPr>
            <w:tcW w:w="892" w:type="dxa"/>
            <w:tcBorders>
              <w:top w:val="single" w:sz="6" w:space="0" w:color="000000"/>
              <w:left w:val="nil"/>
              <w:bottom w:val="nil"/>
              <w:right w:val="nil"/>
            </w:tcBorders>
          </w:tcPr>
          <w:p w:rsidR="00F60B5F" w:rsidRPr="00596C71" w:rsidRDefault="00F60B5F" w:rsidP="00E1323B">
            <w:pPr>
              <w:pStyle w:val="TableofFigures"/>
              <w:rPr>
                <w:rFonts w:cs="Calibri"/>
                <w:sz w:val="19"/>
              </w:rPr>
            </w:pPr>
            <w:r w:rsidRPr="00596C71">
              <w:rPr>
                <w:rFonts w:cs="Calibri"/>
                <w:sz w:val="19"/>
              </w:rPr>
              <w:t>6 145.4</w:t>
            </w:r>
          </w:p>
        </w:tc>
      </w:tr>
      <w:tr w:rsidR="00F60B5F" w:rsidRPr="00596C71" w:rsidTr="00E1323B">
        <w:tc>
          <w:tcPr>
            <w:tcW w:w="2408" w:type="dxa"/>
            <w:tcBorders>
              <w:top w:val="nil"/>
              <w:left w:val="nil"/>
              <w:bottom w:val="nil"/>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Less: Sales of non</w:t>
            </w:r>
            <w:r>
              <w:rPr>
                <w:rFonts w:eastAsiaTheme="minorEastAsia"/>
                <w:sz w:val="19"/>
                <w:lang w:eastAsia="en-AU"/>
              </w:rPr>
              <w:noBreakHyphen/>
            </w:r>
            <w:r w:rsidRPr="00596C71">
              <w:rPr>
                <w:rFonts w:eastAsiaTheme="minorEastAsia"/>
                <w:sz w:val="19"/>
                <w:lang w:eastAsia="en-AU"/>
              </w:rPr>
              <w:t>financial assets</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( 404.4)</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( 525.9)</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( 507.8)</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( 535.1)</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( 572.7)</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( 518.3)</w:t>
            </w:r>
          </w:p>
        </w:tc>
      </w:tr>
      <w:tr w:rsidR="00F60B5F" w:rsidRPr="00596C71" w:rsidTr="00E1323B">
        <w:tc>
          <w:tcPr>
            <w:tcW w:w="2408" w:type="dxa"/>
            <w:tcBorders>
              <w:top w:val="nil"/>
              <w:left w:val="nil"/>
              <w:bottom w:val="nil"/>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Less: Depreciation</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(4 092.4)</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(4 397.0)</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(4 319.5)</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(4 489.2)</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(4 759.5)</w:t>
            </w:r>
          </w:p>
        </w:tc>
        <w:tc>
          <w:tcPr>
            <w:tcW w:w="892" w:type="dxa"/>
            <w:tcBorders>
              <w:top w:val="nil"/>
              <w:left w:val="nil"/>
              <w:bottom w:val="nil"/>
              <w:right w:val="nil"/>
            </w:tcBorders>
          </w:tcPr>
          <w:p w:rsidR="00F60B5F" w:rsidRPr="00596C71" w:rsidRDefault="00F60B5F" w:rsidP="00E1323B">
            <w:pPr>
              <w:pStyle w:val="TableofFigures"/>
              <w:rPr>
                <w:rFonts w:cs="Calibri"/>
                <w:sz w:val="19"/>
              </w:rPr>
            </w:pPr>
            <w:r w:rsidRPr="00596C71">
              <w:rPr>
                <w:rFonts w:cs="Calibri"/>
                <w:sz w:val="19"/>
              </w:rPr>
              <w:t>(5 108.6)</w:t>
            </w:r>
          </w:p>
        </w:tc>
      </w:tr>
      <w:tr w:rsidR="00F60B5F" w:rsidRPr="00596C71" w:rsidTr="00E1323B">
        <w:tc>
          <w:tcPr>
            <w:tcW w:w="2408" w:type="dxa"/>
            <w:tcBorders>
              <w:top w:val="nil"/>
              <w:left w:val="nil"/>
              <w:bottom w:val="single" w:sz="6" w:space="0" w:color="auto"/>
              <w:right w:val="nil"/>
            </w:tcBorders>
          </w:tcPr>
          <w:p w:rsidR="00F60B5F" w:rsidRPr="00596C71" w:rsidRDefault="00F60B5F" w:rsidP="00E1323B">
            <w:pPr>
              <w:pStyle w:val="Tabletext"/>
              <w:rPr>
                <w:rFonts w:eastAsiaTheme="minorEastAsia"/>
                <w:sz w:val="19"/>
                <w:vertAlign w:val="superscript"/>
                <w:lang w:eastAsia="en-AU"/>
              </w:rPr>
            </w:pPr>
            <w:r w:rsidRPr="00596C71">
              <w:rPr>
                <w:rFonts w:eastAsiaTheme="minorEastAsia"/>
                <w:sz w:val="19"/>
                <w:lang w:eastAsia="en-AU"/>
              </w:rPr>
              <w:t>Plus: Other movements in non</w:t>
            </w:r>
            <w:r>
              <w:rPr>
                <w:rFonts w:eastAsiaTheme="minorEastAsia"/>
                <w:sz w:val="19"/>
                <w:lang w:eastAsia="en-AU"/>
              </w:rPr>
              <w:noBreakHyphen/>
            </w:r>
            <w:r w:rsidRPr="00596C71">
              <w:rPr>
                <w:rFonts w:eastAsiaTheme="minorEastAsia"/>
                <w:sz w:val="19"/>
                <w:lang w:eastAsia="en-AU"/>
              </w:rPr>
              <w:t xml:space="preserve">financial assets </w:t>
            </w:r>
            <w:r w:rsidRPr="00596C71">
              <w:rPr>
                <w:rFonts w:eastAsiaTheme="minorEastAsia"/>
                <w:sz w:val="19"/>
                <w:vertAlign w:val="superscript"/>
                <w:lang w:eastAsia="en-AU"/>
              </w:rPr>
              <w:t>(a)</w:t>
            </w:r>
          </w:p>
        </w:tc>
        <w:tc>
          <w:tcPr>
            <w:tcW w:w="892" w:type="dxa"/>
            <w:tcBorders>
              <w:top w:val="nil"/>
              <w:left w:val="nil"/>
              <w:bottom w:val="single" w:sz="6" w:space="0" w:color="auto"/>
              <w:right w:val="nil"/>
            </w:tcBorders>
          </w:tcPr>
          <w:p w:rsidR="00F60B5F" w:rsidRPr="00596C71" w:rsidRDefault="00F60B5F" w:rsidP="00E1323B">
            <w:pPr>
              <w:pStyle w:val="TableofFigures"/>
              <w:rPr>
                <w:rFonts w:cs="Calibri"/>
                <w:sz w:val="19"/>
              </w:rPr>
            </w:pPr>
            <w:r w:rsidRPr="00596C71">
              <w:rPr>
                <w:rFonts w:cs="Calibri"/>
                <w:sz w:val="19"/>
              </w:rPr>
              <w:t>5 526.4</w:t>
            </w:r>
          </w:p>
        </w:tc>
        <w:tc>
          <w:tcPr>
            <w:tcW w:w="892" w:type="dxa"/>
            <w:tcBorders>
              <w:top w:val="nil"/>
              <w:left w:val="nil"/>
              <w:bottom w:val="single" w:sz="6" w:space="0" w:color="auto"/>
              <w:right w:val="nil"/>
            </w:tcBorders>
          </w:tcPr>
          <w:p w:rsidR="00F60B5F" w:rsidRPr="00596C71" w:rsidRDefault="00F60B5F" w:rsidP="00E1323B">
            <w:pPr>
              <w:pStyle w:val="TableofFigures"/>
              <w:rPr>
                <w:rFonts w:cs="Calibri"/>
                <w:sz w:val="19"/>
              </w:rPr>
            </w:pPr>
            <w:r w:rsidRPr="00596C71">
              <w:rPr>
                <w:rFonts w:cs="Calibri"/>
                <w:sz w:val="19"/>
              </w:rPr>
              <w:t xml:space="preserve"> 142.1</w:t>
            </w:r>
          </w:p>
        </w:tc>
        <w:tc>
          <w:tcPr>
            <w:tcW w:w="892" w:type="dxa"/>
            <w:tcBorders>
              <w:top w:val="nil"/>
              <w:left w:val="nil"/>
              <w:bottom w:val="single" w:sz="6" w:space="0" w:color="auto"/>
              <w:right w:val="nil"/>
            </w:tcBorders>
          </w:tcPr>
          <w:p w:rsidR="00F60B5F" w:rsidRPr="00596C71" w:rsidRDefault="00F60B5F" w:rsidP="00E1323B">
            <w:pPr>
              <w:pStyle w:val="TableofFigures"/>
              <w:rPr>
                <w:rFonts w:cs="Calibri"/>
                <w:sz w:val="19"/>
              </w:rPr>
            </w:pPr>
            <w:r w:rsidRPr="00596C71">
              <w:rPr>
                <w:rFonts w:cs="Calibri"/>
                <w:sz w:val="19"/>
              </w:rPr>
              <w:t xml:space="preserve"> 305.5</w:t>
            </w:r>
          </w:p>
        </w:tc>
        <w:tc>
          <w:tcPr>
            <w:tcW w:w="892" w:type="dxa"/>
            <w:tcBorders>
              <w:top w:val="nil"/>
              <w:left w:val="nil"/>
              <w:bottom w:val="single" w:sz="6" w:space="0" w:color="auto"/>
              <w:right w:val="nil"/>
            </w:tcBorders>
          </w:tcPr>
          <w:p w:rsidR="00F60B5F" w:rsidRPr="00596C71" w:rsidRDefault="00F60B5F" w:rsidP="00E1323B">
            <w:pPr>
              <w:pStyle w:val="TableofFigures"/>
              <w:rPr>
                <w:rFonts w:cs="Calibri"/>
                <w:sz w:val="19"/>
              </w:rPr>
            </w:pPr>
            <w:r w:rsidRPr="00596C71">
              <w:rPr>
                <w:rFonts w:cs="Calibri"/>
                <w:sz w:val="19"/>
              </w:rPr>
              <w:t xml:space="preserve"> 181.6</w:t>
            </w:r>
          </w:p>
        </w:tc>
        <w:tc>
          <w:tcPr>
            <w:tcW w:w="892" w:type="dxa"/>
            <w:tcBorders>
              <w:top w:val="nil"/>
              <w:left w:val="nil"/>
              <w:bottom w:val="single" w:sz="6" w:space="0" w:color="auto"/>
              <w:right w:val="nil"/>
            </w:tcBorders>
          </w:tcPr>
          <w:p w:rsidR="00F60B5F" w:rsidRPr="00596C71" w:rsidRDefault="00F60B5F" w:rsidP="00E1323B">
            <w:pPr>
              <w:pStyle w:val="TableofFigures"/>
              <w:rPr>
                <w:rFonts w:cs="Calibri"/>
                <w:sz w:val="19"/>
              </w:rPr>
            </w:pPr>
            <w:r w:rsidRPr="00596C71">
              <w:rPr>
                <w:rFonts w:cs="Calibri"/>
                <w:sz w:val="19"/>
              </w:rPr>
              <w:t>1 220.5</w:t>
            </w:r>
          </w:p>
        </w:tc>
        <w:tc>
          <w:tcPr>
            <w:tcW w:w="892" w:type="dxa"/>
            <w:tcBorders>
              <w:top w:val="nil"/>
              <w:left w:val="nil"/>
              <w:bottom w:val="single" w:sz="6" w:space="0" w:color="auto"/>
              <w:right w:val="nil"/>
            </w:tcBorders>
          </w:tcPr>
          <w:p w:rsidR="00F60B5F" w:rsidRPr="00596C71" w:rsidRDefault="00F60B5F" w:rsidP="00E1323B">
            <w:pPr>
              <w:pStyle w:val="TableofFigures"/>
              <w:rPr>
                <w:rFonts w:cs="Calibri"/>
                <w:sz w:val="19"/>
              </w:rPr>
            </w:pPr>
            <w:r w:rsidRPr="00596C71">
              <w:rPr>
                <w:rFonts w:cs="Calibri"/>
                <w:sz w:val="19"/>
              </w:rPr>
              <w:t xml:space="preserve"> 457.8</w:t>
            </w:r>
          </w:p>
        </w:tc>
      </w:tr>
      <w:tr w:rsidR="00F60B5F" w:rsidRPr="00596C71" w:rsidTr="00E1323B">
        <w:tc>
          <w:tcPr>
            <w:tcW w:w="2408"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text"/>
              <w:rPr>
                <w:rFonts w:eastAsiaTheme="minorEastAsia"/>
                <w:b/>
                <w:sz w:val="19"/>
                <w:lang w:eastAsia="en-AU"/>
              </w:rPr>
            </w:pPr>
            <w:r w:rsidRPr="00596C71">
              <w:rPr>
                <w:rFonts w:eastAsiaTheme="minorEastAsia"/>
                <w:b/>
                <w:sz w:val="19"/>
                <w:lang w:eastAsia="en-AU"/>
              </w:rPr>
              <w:t>Total net acquisition of non</w:t>
            </w:r>
            <w:r>
              <w:rPr>
                <w:rFonts w:eastAsiaTheme="minorEastAsia"/>
                <w:b/>
                <w:sz w:val="19"/>
                <w:lang w:eastAsia="en-AU"/>
              </w:rPr>
              <w:noBreakHyphen/>
            </w:r>
            <w:r w:rsidRPr="00596C71">
              <w:rPr>
                <w:rFonts w:eastAsiaTheme="minorEastAsia"/>
                <w:b/>
                <w:sz w:val="19"/>
                <w:lang w:eastAsia="en-AU"/>
              </w:rPr>
              <w:t>financial assets</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cs="Calibri"/>
                <w:b/>
                <w:bCs/>
                <w:sz w:val="19"/>
              </w:rPr>
            </w:pPr>
            <w:r w:rsidRPr="00596C71">
              <w:rPr>
                <w:rFonts w:cs="Calibri"/>
                <w:b/>
                <w:bCs/>
                <w:sz w:val="19"/>
              </w:rPr>
              <w:t>8 846.3</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cs="Calibri"/>
                <w:b/>
                <w:bCs/>
                <w:sz w:val="19"/>
              </w:rPr>
            </w:pPr>
            <w:r w:rsidRPr="00596C71">
              <w:rPr>
                <w:rFonts w:cs="Calibri"/>
                <w:b/>
                <w:bCs/>
                <w:sz w:val="19"/>
              </w:rPr>
              <w:t>3 770.0</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cs="Calibri"/>
                <w:b/>
                <w:bCs/>
                <w:sz w:val="19"/>
              </w:rPr>
            </w:pPr>
            <w:r w:rsidRPr="00596C71">
              <w:rPr>
                <w:rFonts w:cs="Calibri"/>
                <w:b/>
                <w:bCs/>
                <w:sz w:val="19"/>
              </w:rPr>
              <w:t>3 564.0</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cs="Calibri"/>
                <w:b/>
                <w:bCs/>
                <w:sz w:val="19"/>
              </w:rPr>
            </w:pPr>
            <w:r w:rsidRPr="00596C71">
              <w:rPr>
                <w:rFonts w:cs="Calibri"/>
                <w:b/>
                <w:bCs/>
                <w:sz w:val="19"/>
              </w:rPr>
              <w:t>3 134.9</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cs="Calibri"/>
                <w:b/>
                <w:bCs/>
                <w:sz w:val="19"/>
              </w:rPr>
            </w:pPr>
            <w:r w:rsidRPr="00596C71">
              <w:rPr>
                <w:rFonts w:cs="Calibri"/>
                <w:b/>
                <w:bCs/>
                <w:sz w:val="19"/>
              </w:rPr>
              <w:t>1 587.5</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cs="Calibri"/>
                <w:b/>
                <w:bCs/>
                <w:sz w:val="19"/>
              </w:rPr>
            </w:pPr>
            <w:r w:rsidRPr="00596C71">
              <w:rPr>
                <w:rFonts w:cs="Calibri"/>
                <w:b/>
                <w:bCs/>
                <w:sz w:val="19"/>
              </w:rPr>
              <w:t xml:space="preserve"> 976.3</w:t>
            </w:r>
          </w:p>
        </w:tc>
      </w:tr>
    </w:tbl>
    <w:p w:rsidR="00F60B5F" w:rsidRDefault="00F60B5F" w:rsidP="00596C71">
      <w:pPr>
        <w:pStyle w:val="Source"/>
      </w:pPr>
      <w:r w:rsidRPr="00F27D04">
        <w:t>Source: Department of Treasury and Finance</w:t>
      </w:r>
    </w:p>
    <w:p w:rsidR="00F60B5F" w:rsidRPr="00F27D04" w:rsidRDefault="00F60B5F" w:rsidP="00CE765A">
      <w:pPr>
        <w:pStyle w:val="Notes"/>
      </w:pPr>
      <w:r w:rsidRPr="00F27D04">
        <w:t>Note:</w:t>
      </w:r>
    </w:p>
    <w:p w:rsidR="00F60B5F" w:rsidRPr="00F27D04" w:rsidRDefault="00F60B5F" w:rsidP="00CE765A">
      <w:pPr>
        <w:pStyle w:val="Notes"/>
      </w:pPr>
      <w:r w:rsidRPr="00F27D04">
        <w:t xml:space="preserve">(a) </w:t>
      </w:r>
      <w:r w:rsidRPr="00F27D04">
        <w:tab/>
        <w:t>The 2015</w:t>
      </w:r>
      <w:r>
        <w:noBreakHyphen/>
      </w:r>
      <w:r w:rsidRPr="00F27D04">
        <w:t>16 finance lease amount predominantly relates to the Victorian Comprehensive Cancer Centre.</w:t>
      </w:r>
    </w:p>
    <w:p w:rsidR="00F60B5F" w:rsidRPr="00F27D04" w:rsidRDefault="00F60B5F" w:rsidP="00250CAA"/>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6.14:</w:t>
      </w:r>
      <w:r w:rsidRPr="00F27D04">
        <w:tab/>
        <w:t>Public financial corporations sector comprehensive operating statement</w:t>
      </w:r>
    </w:p>
    <w:p w:rsidR="00F60B5F" w:rsidRPr="00E1323B" w:rsidRDefault="00F60B5F" w:rsidP="00E1323B">
      <w:pPr>
        <w:pStyle w:val="million"/>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129"/>
        <w:gridCol w:w="90"/>
        <w:gridCol w:w="84"/>
        <w:gridCol w:w="589"/>
        <w:gridCol w:w="892"/>
        <w:gridCol w:w="892"/>
        <w:gridCol w:w="892"/>
        <w:gridCol w:w="892"/>
        <w:gridCol w:w="892"/>
      </w:tblGrid>
      <w:tr w:rsidR="00F60B5F" w:rsidRPr="00E1323B" w:rsidTr="005C751E">
        <w:trPr>
          <w:tblHeader/>
        </w:trPr>
        <w:tc>
          <w:tcPr>
            <w:tcW w:w="2408"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
              <w:rPr>
                <w:rFonts w:eastAsiaTheme="minorEastAsia"/>
                <w:lang w:eastAsia="en-AU"/>
              </w:rPr>
            </w:pPr>
            <w:r w:rsidRPr="00E1323B">
              <w:rPr>
                <w:rFonts w:eastAsiaTheme="minorEastAsia"/>
                <w:lang w:eastAsia="en-AU"/>
              </w:rPr>
              <w:t xml:space="preserve"> </w:t>
            </w:r>
          </w:p>
        </w:tc>
        <w:tc>
          <w:tcPr>
            <w:tcW w:w="892" w:type="dxa"/>
            <w:gridSpan w:val="4"/>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2012</w:t>
            </w:r>
            <w:r>
              <w:rPr>
                <w:rFonts w:eastAsiaTheme="minorEastAsia"/>
                <w:iCs/>
                <w:color w:val="FFFFFF"/>
                <w:lang w:eastAsia="en-AU"/>
              </w:rPr>
              <w:noBreakHyphen/>
            </w:r>
            <w:r w:rsidRPr="00E1323B">
              <w:rPr>
                <w:rFonts w:eastAsiaTheme="minorEastAsia"/>
                <w:iCs/>
                <w:color w:val="FFFFFF"/>
                <w:lang w:eastAsia="en-AU"/>
              </w:rPr>
              <w:t>13</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2014</w:t>
            </w:r>
            <w:r>
              <w:rPr>
                <w:rFonts w:eastAsiaTheme="minorEastAsia"/>
                <w:iCs/>
                <w:color w:val="FFFFFF"/>
                <w:lang w:eastAsia="en-AU"/>
              </w:rPr>
              <w:noBreakHyphen/>
            </w:r>
            <w:r w:rsidRPr="00E1323B">
              <w:rPr>
                <w:rFonts w:eastAsiaTheme="minorEastAsia"/>
                <w:iCs/>
                <w:color w:val="FFFFFF"/>
                <w:lang w:eastAsia="en-AU"/>
              </w:rPr>
              <w:t>15</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2015</w:t>
            </w:r>
            <w:r>
              <w:rPr>
                <w:rFonts w:eastAsiaTheme="minorEastAsia"/>
                <w:iCs/>
                <w:color w:val="FFFFFF"/>
                <w:lang w:eastAsia="en-AU"/>
              </w:rPr>
              <w:noBreakHyphen/>
            </w:r>
            <w:r w:rsidRPr="00E1323B">
              <w:rPr>
                <w:rFonts w:eastAsiaTheme="minorEastAsia"/>
                <w:iCs/>
                <w:color w:val="FFFFFF"/>
                <w:lang w:eastAsia="en-AU"/>
              </w:rPr>
              <w:t>16</w:t>
            </w:r>
          </w:p>
        </w:tc>
        <w:tc>
          <w:tcPr>
            <w:tcW w:w="892"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2016</w:t>
            </w:r>
            <w:r>
              <w:rPr>
                <w:rFonts w:eastAsiaTheme="minorEastAsia"/>
                <w:iCs/>
                <w:color w:val="FFFFFF"/>
                <w:lang w:eastAsia="en-AU"/>
              </w:rPr>
              <w:noBreakHyphen/>
            </w:r>
            <w:r w:rsidRPr="00E1323B">
              <w:rPr>
                <w:rFonts w:eastAsiaTheme="minorEastAsia"/>
                <w:iCs/>
                <w:color w:val="FFFFFF"/>
                <w:lang w:eastAsia="en-AU"/>
              </w:rPr>
              <w:t>17</w:t>
            </w:r>
          </w:p>
        </w:tc>
      </w:tr>
      <w:tr w:rsidR="00F60B5F" w:rsidRPr="00E1323B" w:rsidTr="005C751E">
        <w:trPr>
          <w:tblHeader/>
        </w:trPr>
        <w:tc>
          <w:tcPr>
            <w:tcW w:w="2408" w:type="dxa"/>
            <w:tcBorders>
              <w:left w:val="single" w:sz="6" w:space="0" w:color="000000"/>
              <w:bottom w:val="single" w:sz="6" w:space="0" w:color="000000"/>
              <w:right w:val="nil"/>
            </w:tcBorders>
            <w:shd w:val="clear" w:color="000000" w:fill="000000"/>
          </w:tcPr>
          <w:p w:rsidR="00F60B5F" w:rsidRPr="00E1323B" w:rsidRDefault="00F60B5F" w:rsidP="00E1323B">
            <w:pPr>
              <w:pStyle w:val="Tabletext"/>
              <w:rPr>
                <w:rFonts w:eastAsiaTheme="minorEastAsia"/>
                <w:lang w:eastAsia="en-AU"/>
              </w:rPr>
            </w:pPr>
            <w:r w:rsidRPr="00E1323B">
              <w:rPr>
                <w:rFonts w:eastAsiaTheme="minorEastAsia"/>
                <w:lang w:eastAsia="en-AU"/>
              </w:rPr>
              <w:t xml:space="preserve"> </w:t>
            </w:r>
          </w:p>
        </w:tc>
        <w:tc>
          <w:tcPr>
            <w:tcW w:w="892" w:type="dxa"/>
            <w:gridSpan w:val="4"/>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Actual</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Revised</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r>
      <w:tr w:rsidR="00F60B5F" w:rsidRPr="00E1323B" w:rsidTr="00E1323B">
        <w:tc>
          <w:tcPr>
            <w:tcW w:w="2408" w:type="dxa"/>
            <w:tcBorders>
              <w:top w:val="single" w:sz="6" w:space="0" w:color="000000"/>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Revenue</w:t>
            </w:r>
          </w:p>
        </w:tc>
        <w:tc>
          <w:tcPr>
            <w:tcW w:w="892" w:type="dxa"/>
            <w:gridSpan w:val="4"/>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lang w:eastAsia="en-AU"/>
              </w:rPr>
            </w:pPr>
            <w:r w:rsidRPr="00E1323B">
              <w:rPr>
                <w:rFonts w:ascii="Arial" w:eastAsiaTheme="minorEastAsia" w:hAnsi="Arial" w:cs="Arial"/>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lang w:eastAsia="en-AU"/>
              </w:rPr>
            </w:pPr>
            <w:r w:rsidRPr="00E1323B">
              <w:rPr>
                <w:rFonts w:ascii="Arial" w:eastAsiaTheme="minorEastAsia" w:hAnsi="Arial" w:cs="Arial"/>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lang w:eastAsia="en-AU"/>
              </w:rPr>
            </w:pPr>
            <w:r w:rsidRPr="00E1323B">
              <w:rPr>
                <w:rFonts w:ascii="Arial" w:eastAsiaTheme="minorEastAsia" w:hAnsi="Arial" w:cs="Arial"/>
                <w:b/>
                <w:sz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lang w:eastAsia="en-AU"/>
              </w:rPr>
            </w:pPr>
            <w:r w:rsidRPr="00E1323B">
              <w:rPr>
                <w:rFonts w:ascii="Arial" w:eastAsiaTheme="minorEastAsia" w:hAnsi="Arial" w:cs="Arial"/>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2 388.6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2 715.5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2 620.0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2 827.0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2 956.5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2 836.1</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460.1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434.1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501.7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535.2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570.2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607.1</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Sales of goods and services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3 723.3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3 913.0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3 909.2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4 095.0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4 302.5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4 505.4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 xml:space="preserve">Grants </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0.1</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current revenue</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20.7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23.2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20.9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22.6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22.4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23.3</w:t>
            </w:r>
          </w:p>
        </w:tc>
      </w:tr>
      <w:tr w:rsidR="00F60B5F" w:rsidRPr="00E1323B" w:rsidTr="00E1323B">
        <w:tc>
          <w:tcPr>
            <w:tcW w:w="2408" w:type="dxa"/>
            <w:tcBorders>
              <w:top w:val="single" w:sz="6" w:space="0" w:color="auto"/>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Total revenue</w:t>
            </w:r>
          </w:p>
        </w:tc>
        <w:tc>
          <w:tcPr>
            <w:tcW w:w="892" w:type="dxa"/>
            <w:gridSpan w:val="4"/>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6 595.5</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7 085.9</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7 051.8</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7 479.9</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7 851.7</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7 972.0</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Expenses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Employee expenses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302.4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307.2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306.9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312.9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317.9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313.1</w:t>
            </w:r>
          </w:p>
        </w:tc>
      </w:tr>
      <w:tr w:rsidR="00F60B5F" w:rsidRPr="00E1323B" w:rsidTr="00E1323B">
        <w:tc>
          <w:tcPr>
            <w:tcW w:w="2711" w:type="dxa"/>
            <w:gridSpan w:val="4"/>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Superannuation interest expense</w:t>
            </w:r>
          </w:p>
        </w:tc>
        <w:tc>
          <w:tcPr>
            <w:tcW w:w="589"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superannuation</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23.3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23.8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24.4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24.9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24.6</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Depreciation</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39.3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48.1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49.1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58.2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57.9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61.2</w:t>
            </w:r>
          </w:p>
        </w:tc>
      </w:tr>
      <w:tr w:rsidR="00F60B5F" w:rsidRPr="00E1323B" w:rsidTr="00E1323B">
        <w:tc>
          <w:tcPr>
            <w:tcW w:w="2408" w:type="dxa"/>
            <w:tcBorders>
              <w:top w:val="nil"/>
              <w:left w:val="nil"/>
              <w:bottom w:val="nil"/>
              <w:right w:val="nil"/>
            </w:tcBorders>
            <w:shd w:val="solid" w:color="FFFFFF"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 expense</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1 957.9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2 195.3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2 052.4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2 256.5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2 359.0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2 337.9</w:t>
            </w:r>
          </w:p>
        </w:tc>
      </w:tr>
      <w:tr w:rsidR="00F60B5F" w:rsidRPr="00E1323B" w:rsidTr="00E1323B">
        <w:tc>
          <w:tcPr>
            <w:tcW w:w="2408" w:type="dxa"/>
            <w:tcBorders>
              <w:top w:val="nil"/>
              <w:left w:val="nil"/>
              <w:bottom w:val="nil"/>
              <w:right w:val="nil"/>
            </w:tcBorders>
            <w:shd w:val="solid" w:color="FFFFFF"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operating expenses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5 234.0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5 381.8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5 396.7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5 596.0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5 838.3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6 059.6</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property expenses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17.2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15.6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21.2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22.3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7.2</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Total expenses</w:t>
            </w:r>
          </w:p>
        </w:tc>
        <w:tc>
          <w:tcPr>
            <w:tcW w:w="892" w:type="dxa"/>
            <w:gridSpan w:val="4"/>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7 574.0</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7 972.8</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7 850.2</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8 270.2</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8 622.7</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8 803.8</w:t>
            </w:r>
          </w:p>
        </w:tc>
      </w:tr>
      <w:tr w:rsidR="00F60B5F" w:rsidRPr="00E1323B" w:rsidTr="00E1323B">
        <w:tc>
          <w:tcPr>
            <w:tcW w:w="2537" w:type="dxa"/>
            <w:gridSpan w:val="2"/>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Net result from transactions</w:t>
            </w:r>
            <w:r>
              <w:rPr>
                <w:rFonts w:eastAsiaTheme="minorEastAsia"/>
                <w:b/>
                <w:sz w:val="19"/>
                <w:lang w:eastAsia="en-AU"/>
              </w:rPr>
              <w:t xml:space="preserve"> – </w:t>
            </w:r>
            <w:r w:rsidRPr="00E1323B">
              <w:rPr>
                <w:rFonts w:eastAsiaTheme="minorEastAsia"/>
                <w:b/>
                <w:sz w:val="19"/>
                <w:lang w:eastAsia="en-AU"/>
              </w:rPr>
              <w:t>net operating balance</w:t>
            </w:r>
          </w:p>
        </w:tc>
        <w:tc>
          <w:tcPr>
            <w:tcW w:w="763" w:type="dxa"/>
            <w:gridSpan w:val="3"/>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( 978.5)</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( 886.9)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( 798.4)</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( 790.3)</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( 771.0)</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( 831.7)</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Other economic flows included in net result</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(loss) on sale of non</w:t>
            </w:r>
            <w:r>
              <w:rPr>
                <w:rFonts w:eastAsiaTheme="minorEastAsia"/>
                <w:sz w:val="19"/>
                <w:lang w:eastAsia="en-AU"/>
              </w:rPr>
              <w:noBreakHyphen/>
            </w:r>
            <w:r w:rsidRPr="00E1323B">
              <w:rPr>
                <w:rFonts w:eastAsiaTheme="minorEastAsia"/>
                <w:sz w:val="19"/>
                <w:lang w:eastAsia="en-AU"/>
              </w:rPr>
              <w:t>financial assets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( 0.1)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( 0.1)</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Pr>
                <w:rFonts w:eastAsiaTheme="minorEastAsia"/>
                <w:sz w:val="19"/>
                <w:lang w:eastAsia="en-AU"/>
              </w:rPr>
              <w:t>..</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gain on financial assets or liabilities at fair value</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3 168.3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805.6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857.9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839.4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900.8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965.4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(losses) from other economic flows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1 069.9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478.3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556.7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497.3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490.3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493.5</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Total other economic flows included in net result</w:t>
            </w:r>
          </w:p>
        </w:tc>
        <w:tc>
          <w:tcPr>
            <w:tcW w:w="892" w:type="dxa"/>
            <w:gridSpan w:val="4"/>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4 238.1</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1 283.8</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1 414.6</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1 336.7</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1 391.0</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1 458.9</w:t>
            </w:r>
          </w:p>
        </w:tc>
      </w:tr>
      <w:tr w:rsidR="00F60B5F" w:rsidRPr="00E1323B" w:rsidTr="00E1323B">
        <w:tc>
          <w:tcPr>
            <w:tcW w:w="240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Net result</w:t>
            </w:r>
          </w:p>
        </w:tc>
        <w:tc>
          <w:tcPr>
            <w:tcW w:w="892" w:type="dxa"/>
            <w:gridSpan w:val="4"/>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3 259.7</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396.9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616.2</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546.4</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620.0</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627.2</w:t>
            </w:r>
          </w:p>
        </w:tc>
      </w:tr>
      <w:tr w:rsidR="00F60B5F" w:rsidRPr="00E1323B" w:rsidTr="00E1323B">
        <w:tc>
          <w:tcPr>
            <w:tcW w:w="2711" w:type="dxa"/>
            <w:gridSpan w:val="4"/>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 xml:space="preserve">Other economic flows – other comprehensive income </w:t>
            </w:r>
          </w:p>
        </w:tc>
        <w:tc>
          <w:tcPr>
            <w:tcW w:w="589"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Items that will not be reclassified to net result</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Changes in non</w:t>
            </w:r>
            <w:r>
              <w:rPr>
                <w:rFonts w:eastAsiaTheme="minorEastAsia"/>
                <w:sz w:val="19"/>
                <w:lang w:eastAsia="en-AU"/>
              </w:rPr>
              <w:noBreakHyphen/>
            </w:r>
            <w:r w:rsidRPr="00E1323B">
              <w:rPr>
                <w:rFonts w:eastAsiaTheme="minorEastAsia"/>
                <w:sz w:val="19"/>
                <w:lang w:eastAsia="en-AU"/>
              </w:rPr>
              <w:t>financial assets revaluation surplus</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( 12.9)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movements in equity</w:t>
            </w:r>
          </w:p>
        </w:tc>
        <w:tc>
          <w:tcPr>
            <w:tcW w:w="892" w:type="dxa"/>
            <w:gridSpan w:val="4"/>
            <w:tcBorders>
              <w:top w:val="nil"/>
              <w:left w:val="nil"/>
              <w:bottom w:val="nil"/>
              <w:right w:val="nil"/>
            </w:tcBorders>
          </w:tcPr>
          <w:p w:rsidR="00F60B5F" w:rsidRPr="00E1323B" w:rsidRDefault="00F60B5F" w:rsidP="00E1323B">
            <w:pPr>
              <w:pStyle w:val="TableofFigures"/>
              <w:rPr>
                <w:rFonts w:eastAsiaTheme="minorEastAsia"/>
                <w:sz w:val="19"/>
                <w:lang w:eastAsia="en-AU"/>
              </w:rPr>
            </w:pPr>
            <w:r>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Pr>
                <w:rFonts w:eastAsiaTheme="minorEastAsia"/>
                <w:sz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12.5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( 0.9)</w:t>
            </w:r>
          </w:p>
        </w:tc>
      </w:tr>
      <w:tr w:rsidR="00F60B5F" w:rsidRPr="00E1323B" w:rsidTr="00E1323B">
        <w:tc>
          <w:tcPr>
            <w:tcW w:w="2627" w:type="dxa"/>
            <w:gridSpan w:val="3"/>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Total other economic flows – other comprehensive income</w:t>
            </w:r>
          </w:p>
        </w:tc>
        <w:tc>
          <w:tcPr>
            <w:tcW w:w="673"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( 1.0)</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cs="Calibri"/>
                <w:b/>
                <w:bCs/>
                <w:lang w:eastAsia="en-AU"/>
              </w:rPr>
            </w:pPr>
            <w:r>
              <w:rPr>
                <w:rFonts w:eastAsiaTheme="minorEastAsia"/>
                <w:b/>
                <w:sz w:val="19"/>
                <w:lang w:eastAsia="en-AU"/>
              </w:rPr>
              <w:t>..</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( 0.4)</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( 1.2)</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( 1.0)</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( 0.9)</w:t>
            </w:r>
          </w:p>
        </w:tc>
      </w:tr>
      <w:tr w:rsidR="00F60B5F" w:rsidRPr="00E1323B" w:rsidTr="00E1323B">
        <w:tc>
          <w:tcPr>
            <w:tcW w:w="240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Comprehensive result – total change in net worth</w:t>
            </w:r>
          </w:p>
        </w:tc>
        <w:tc>
          <w:tcPr>
            <w:tcW w:w="892" w:type="dxa"/>
            <w:gridSpan w:val="4"/>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3 258.7</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396.9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615.8</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545.2</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619.0</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626.2</w:t>
            </w:r>
          </w:p>
        </w:tc>
      </w:tr>
    </w:tbl>
    <w:p w:rsidR="00F60B5F" w:rsidRPr="002E09B7" w:rsidRDefault="00F60B5F" w:rsidP="002E09B7">
      <w:pPr>
        <w:pStyle w:val="Tableheading"/>
        <w:rPr>
          <w:i/>
        </w:rPr>
      </w:pPr>
      <w:r w:rsidRPr="00F27D04">
        <w:t>Table 6.14:</w:t>
      </w:r>
      <w:r w:rsidRPr="00F27D04">
        <w:tab/>
        <w:t>Public financial corporations sector comprehensive operating statement</w:t>
      </w:r>
      <w:r>
        <w:t xml:space="preserve"> </w:t>
      </w:r>
      <w:r>
        <w:rPr>
          <w:i/>
        </w:rPr>
        <w:t>(continued)</w:t>
      </w:r>
    </w:p>
    <w:p w:rsidR="00F60B5F" w:rsidRDefault="00F60B5F" w:rsidP="002E09B7">
      <w:pPr>
        <w:pStyle w:val="million"/>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892"/>
        <w:gridCol w:w="892"/>
        <w:gridCol w:w="892"/>
        <w:gridCol w:w="892"/>
        <w:gridCol w:w="892"/>
        <w:gridCol w:w="892"/>
      </w:tblGrid>
      <w:tr w:rsidR="00F60B5F" w:rsidRPr="00E1323B" w:rsidTr="00C13386">
        <w:trPr>
          <w:tblHeader/>
        </w:trPr>
        <w:tc>
          <w:tcPr>
            <w:tcW w:w="2408" w:type="dxa"/>
            <w:tcBorders>
              <w:top w:val="single" w:sz="6" w:space="0" w:color="000000"/>
              <w:left w:val="single" w:sz="6" w:space="0" w:color="000000"/>
              <w:bottom w:val="nil"/>
              <w:right w:val="nil"/>
            </w:tcBorders>
            <w:shd w:val="clear" w:color="000000" w:fill="000000"/>
          </w:tcPr>
          <w:p w:rsidR="00F60B5F" w:rsidRPr="00E1323B" w:rsidRDefault="00F60B5F" w:rsidP="00C13386">
            <w:pPr>
              <w:pStyle w:val="Tabletext"/>
              <w:rPr>
                <w:rFonts w:eastAsiaTheme="minorEastAsia"/>
                <w:lang w:eastAsia="en-AU"/>
              </w:rPr>
            </w:pPr>
          </w:p>
        </w:tc>
        <w:tc>
          <w:tcPr>
            <w:tcW w:w="892"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2012</w:t>
            </w:r>
            <w:r>
              <w:rPr>
                <w:rFonts w:eastAsiaTheme="minorEastAsia"/>
                <w:iCs/>
                <w:color w:val="FFFFFF"/>
                <w:lang w:eastAsia="en-AU"/>
              </w:rPr>
              <w:noBreakHyphen/>
            </w:r>
            <w:r w:rsidRPr="00E1323B">
              <w:rPr>
                <w:rFonts w:eastAsiaTheme="minorEastAsia"/>
                <w:iCs/>
                <w:color w:val="FFFFFF"/>
                <w:lang w:eastAsia="en-AU"/>
              </w:rPr>
              <w:t>13</w:t>
            </w:r>
          </w:p>
        </w:tc>
        <w:tc>
          <w:tcPr>
            <w:tcW w:w="892"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2014</w:t>
            </w:r>
            <w:r>
              <w:rPr>
                <w:rFonts w:eastAsiaTheme="minorEastAsia"/>
                <w:iCs/>
                <w:color w:val="FFFFFF"/>
                <w:lang w:eastAsia="en-AU"/>
              </w:rPr>
              <w:noBreakHyphen/>
            </w:r>
            <w:r w:rsidRPr="00E1323B">
              <w:rPr>
                <w:rFonts w:eastAsiaTheme="minorEastAsia"/>
                <w:iCs/>
                <w:color w:val="FFFFFF"/>
                <w:lang w:eastAsia="en-AU"/>
              </w:rPr>
              <w:t>15</w:t>
            </w:r>
          </w:p>
        </w:tc>
        <w:tc>
          <w:tcPr>
            <w:tcW w:w="892" w:type="dxa"/>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2015</w:t>
            </w:r>
            <w:r>
              <w:rPr>
                <w:rFonts w:eastAsiaTheme="minorEastAsia"/>
                <w:iCs/>
                <w:color w:val="FFFFFF"/>
                <w:lang w:eastAsia="en-AU"/>
              </w:rPr>
              <w:noBreakHyphen/>
            </w:r>
            <w:r w:rsidRPr="00E1323B">
              <w:rPr>
                <w:rFonts w:eastAsiaTheme="minorEastAsia"/>
                <w:iCs/>
                <w:color w:val="FFFFFF"/>
                <w:lang w:eastAsia="en-AU"/>
              </w:rPr>
              <w:t>16</w:t>
            </w:r>
          </w:p>
        </w:tc>
        <w:tc>
          <w:tcPr>
            <w:tcW w:w="892" w:type="dxa"/>
            <w:tcBorders>
              <w:top w:val="single" w:sz="6" w:space="0" w:color="000000"/>
              <w:left w:val="nil"/>
              <w:bottom w:val="nil"/>
              <w:right w:val="single" w:sz="6" w:space="0" w:color="000000"/>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2016</w:t>
            </w:r>
            <w:r>
              <w:rPr>
                <w:rFonts w:eastAsiaTheme="minorEastAsia"/>
                <w:iCs/>
                <w:color w:val="FFFFFF"/>
                <w:lang w:eastAsia="en-AU"/>
              </w:rPr>
              <w:noBreakHyphen/>
            </w:r>
            <w:r w:rsidRPr="00E1323B">
              <w:rPr>
                <w:rFonts w:eastAsiaTheme="minorEastAsia"/>
                <w:iCs/>
                <w:color w:val="FFFFFF"/>
                <w:lang w:eastAsia="en-AU"/>
              </w:rPr>
              <w:t>17</w:t>
            </w:r>
          </w:p>
        </w:tc>
      </w:tr>
      <w:tr w:rsidR="00F60B5F" w:rsidRPr="00E1323B" w:rsidTr="00C13386">
        <w:trPr>
          <w:tblHeader/>
        </w:trPr>
        <w:tc>
          <w:tcPr>
            <w:tcW w:w="2408" w:type="dxa"/>
            <w:tcBorders>
              <w:left w:val="single" w:sz="6" w:space="0" w:color="000000"/>
              <w:bottom w:val="single" w:sz="6" w:space="0" w:color="000000"/>
              <w:right w:val="nil"/>
            </w:tcBorders>
            <w:shd w:val="clear" w:color="000000" w:fill="000000"/>
          </w:tcPr>
          <w:p w:rsidR="00F60B5F" w:rsidRPr="00E1323B" w:rsidRDefault="00F60B5F" w:rsidP="00C13386">
            <w:pPr>
              <w:pStyle w:val="Tabletext"/>
              <w:rPr>
                <w:rFonts w:eastAsiaTheme="minorEastAsia"/>
                <w:lang w:eastAsia="en-AU"/>
              </w:rPr>
            </w:pPr>
            <w:r w:rsidRPr="00E1323B">
              <w:rPr>
                <w:rFonts w:eastAsiaTheme="minorEastAsia"/>
                <w:lang w:eastAsia="en-AU"/>
              </w:rPr>
              <w:t xml:space="preserve"> </w:t>
            </w:r>
          </w:p>
        </w:tc>
        <w:tc>
          <w:tcPr>
            <w:tcW w:w="892"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Actual</w:t>
            </w:r>
          </w:p>
        </w:tc>
        <w:tc>
          <w:tcPr>
            <w:tcW w:w="892"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Revised</w:t>
            </w:r>
          </w:p>
        </w:tc>
        <w:tc>
          <w:tcPr>
            <w:tcW w:w="892"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single" w:sz="6" w:space="0" w:color="000000"/>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Estimate</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FISCAL AGGREGATES</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Net operating balance</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( 978.5)</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( 886.9)</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( 798.4)</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( 790.3)</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( 771.0)</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( 831.7)</w:t>
            </w:r>
          </w:p>
        </w:tc>
      </w:tr>
      <w:tr w:rsidR="00F60B5F" w:rsidRPr="00E1323B" w:rsidTr="00E1323B">
        <w:tc>
          <w:tcPr>
            <w:tcW w:w="2408"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Less: Net acquisition of non</w:t>
            </w:r>
            <w:r>
              <w:rPr>
                <w:rFonts w:eastAsiaTheme="minorEastAsia"/>
                <w:sz w:val="19"/>
                <w:lang w:eastAsia="en-AU"/>
              </w:rPr>
              <w:noBreakHyphen/>
            </w:r>
            <w:r w:rsidRPr="00E1323B">
              <w:rPr>
                <w:rFonts w:eastAsiaTheme="minorEastAsia"/>
                <w:sz w:val="19"/>
                <w:lang w:eastAsia="en-AU"/>
              </w:rPr>
              <w:t>financial assets from transactions</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33.2</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37.7</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26.9</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( 10.4)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( 4.0)</w:t>
            </w:r>
          </w:p>
        </w:tc>
      </w:tr>
      <w:tr w:rsidR="00F60B5F" w:rsidRPr="00E1323B" w:rsidTr="00E1323B">
        <w:tc>
          <w:tcPr>
            <w:tcW w:w="2408"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Net lending/(borrowing)</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(1 011.7)</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( 924.6)</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( 825.3)</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( 796.7)</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( 760.7)</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( 827.7)</w:t>
            </w:r>
          </w:p>
        </w:tc>
      </w:tr>
    </w:tbl>
    <w:p w:rsidR="00F60B5F" w:rsidRDefault="00F60B5F" w:rsidP="00596C71">
      <w:pPr>
        <w:pStyle w:val="Source"/>
      </w:pPr>
      <w:r w:rsidRPr="00F27D04">
        <w:t>Source: Department of Treasury and Finance</w:t>
      </w:r>
    </w:p>
    <w:p w:rsidR="00F60B5F" w:rsidRPr="00F27D04" w:rsidRDefault="00F60B5F" w:rsidP="007E1E75">
      <w:pPr>
        <w:pStyle w:val="Source"/>
      </w:pPr>
    </w:p>
    <w:p w:rsidR="00F60B5F" w:rsidRPr="00F27D04" w:rsidRDefault="00F60B5F" w:rsidP="00250CAA"/>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6.15:</w:t>
      </w:r>
      <w:r w:rsidRPr="00F27D04">
        <w:tab/>
        <w:t>Public financial corporations sector balance sheet</w:t>
      </w:r>
    </w:p>
    <w:p w:rsidR="00F60B5F" w:rsidRPr="00E1323B" w:rsidRDefault="00F60B5F" w:rsidP="00E1323B">
      <w:pPr>
        <w:pStyle w:val="million"/>
        <w:rPr>
          <w:rFonts w:ascii="Times New Roman" w:hAnsi="Times New Roman"/>
          <w:i w:val="0"/>
          <w:sz w:val="20"/>
          <w:szCs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129"/>
        <w:gridCol w:w="32"/>
        <w:gridCol w:w="731"/>
        <w:gridCol w:w="892"/>
        <w:gridCol w:w="892"/>
        <w:gridCol w:w="892"/>
        <w:gridCol w:w="892"/>
        <w:gridCol w:w="892"/>
      </w:tblGrid>
      <w:tr w:rsidR="00F60B5F" w:rsidRPr="00E1323B" w:rsidTr="00E1323B">
        <w:tc>
          <w:tcPr>
            <w:tcW w:w="2408"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92" w:type="dxa"/>
            <w:gridSpan w:val="3"/>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92"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E1323B">
        <w:tc>
          <w:tcPr>
            <w:tcW w:w="2408"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b/>
                <w:bCs/>
                <w:color w:val="FFFFFF"/>
                <w:lang w:eastAsia="en-AU"/>
              </w:rPr>
            </w:pPr>
            <w:r w:rsidRPr="00E1323B">
              <w:rPr>
                <w:rFonts w:eastAsiaTheme="minorEastAsia"/>
                <w:b/>
                <w:bCs/>
                <w:color w:val="FFFFFF"/>
                <w:lang w:eastAsia="en-AU"/>
              </w:rPr>
              <w:t xml:space="preserve"> </w:t>
            </w:r>
          </w:p>
        </w:tc>
        <w:tc>
          <w:tcPr>
            <w:tcW w:w="892" w:type="dxa"/>
            <w:gridSpan w:val="3"/>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color w:val="FFFFFF"/>
                <w:lang w:eastAsia="en-AU"/>
              </w:rPr>
            </w:pPr>
            <w:r w:rsidRPr="00E1323B">
              <w:rPr>
                <w:rFonts w:eastAsiaTheme="minorEastAsia"/>
                <w:b/>
                <w:color w:val="FFFFFF"/>
                <w:lang w:eastAsia="en-AU"/>
              </w:rPr>
              <w:t>Actual</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color w:val="FFFFFF"/>
                <w:lang w:eastAsia="en-AU"/>
              </w:rPr>
            </w:pPr>
            <w:r w:rsidRPr="00E1323B">
              <w:rPr>
                <w:rFonts w:eastAsiaTheme="minorEastAsia"/>
                <w:b/>
                <w:color w:val="FFFFFF"/>
                <w:lang w:eastAsia="en-AU"/>
              </w:rPr>
              <w:t>Budget</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color w:val="FFFFFF"/>
                <w:lang w:eastAsia="en-AU"/>
              </w:rPr>
            </w:pPr>
            <w:r w:rsidRPr="00E1323B">
              <w:rPr>
                <w:rFonts w:eastAsiaTheme="minorEastAsia"/>
                <w:b/>
                <w:color w:val="FFFFFF"/>
                <w:lang w:eastAsia="en-AU"/>
              </w:rPr>
              <w:t>Revised</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color w:val="FFFFFF"/>
                <w:lang w:eastAsia="en-AU"/>
              </w:rPr>
            </w:pPr>
            <w:r w:rsidRPr="00E1323B">
              <w:rPr>
                <w:rFonts w:eastAsiaTheme="minorEastAsia"/>
                <w:b/>
                <w:color w:val="FFFFFF"/>
                <w:lang w:eastAsia="en-AU"/>
              </w:rPr>
              <w:t>Estimate</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b/>
                <w:color w:val="FFFFFF"/>
                <w:lang w:eastAsia="en-AU"/>
              </w:rPr>
            </w:pPr>
            <w:r w:rsidRPr="00E1323B">
              <w:rPr>
                <w:rFonts w:eastAsiaTheme="minorEastAsia"/>
                <w:b/>
                <w:color w:val="FFFFFF"/>
                <w:lang w:eastAsia="en-AU"/>
              </w:rPr>
              <w:t>Estimate</w:t>
            </w:r>
          </w:p>
        </w:tc>
        <w:tc>
          <w:tcPr>
            <w:tcW w:w="892"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b/>
                <w:color w:val="FFFFFF"/>
                <w:lang w:eastAsia="en-AU"/>
              </w:rPr>
            </w:pPr>
            <w:r w:rsidRPr="00E1323B">
              <w:rPr>
                <w:rFonts w:eastAsiaTheme="minorEastAsia"/>
                <w:b/>
                <w:color w:val="FFFFFF"/>
                <w:lang w:eastAsia="en-AU"/>
              </w:rPr>
              <w:t>Estimate</w:t>
            </w:r>
          </w:p>
        </w:tc>
      </w:tr>
      <w:tr w:rsidR="00F60B5F" w:rsidRPr="00E1323B" w:rsidTr="00E1323B">
        <w:tc>
          <w:tcPr>
            <w:tcW w:w="2408"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Assets</w:t>
            </w:r>
          </w:p>
        </w:tc>
        <w:tc>
          <w:tcPr>
            <w:tcW w:w="892" w:type="dxa"/>
            <w:gridSpan w:val="3"/>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Financial assets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Cash and deposits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4 158.4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4 459.2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3 622.3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3 852.6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4 055.5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4 259.5</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Advances paid, investments, loans and placements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cs="Calibri"/>
                <w:color w:val="0000FF"/>
                <w:lang w:eastAsia="en-AU"/>
              </w:rPr>
            </w:pPr>
            <w:r w:rsidRPr="00E1323B">
              <w:rPr>
                <w:rFonts w:eastAsiaTheme="minorEastAsia"/>
                <w:sz w:val="19"/>
                <w:szCs w:val="19"/>
                <w:lang w:eastAsia="en-AU"/>
              </w:rPr>
              <w:t>25</w:t>
            </w:r>
            <w:r w:rsidRPr="00E1323B">
              <w:rPr>
                <w:rFonts w:eastAsiaTheme="minorEastAsia" w:cs="Calibri"/>
                <w:color w:val="0000FF"/>
                <w:lang w:eastAsia="en-AU"/>
              </w:rPr>
              <w:t xml:space="preserve"> </w:t>
            </w:r>
            <w:r w:rsidRPr="00E1323B">
              <w:rPr>
                <w:rFonts w:eastAsiaTheme="minorEastAsia" w:cs="Calibri"/>
                <w:lang w:eastAsia="en-AU"/>
              </w:rPr>
              <w:t>610.4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26 676.9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27 132.3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28 488.1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28 139.1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29 826.7</w:t>
            </w:r>
          </w:p>
        </w:tc>
      </w:tr>
      <w:tr w:rsidR="00F60B5F" w:rsidRPr="00E1323B" w:rsidTr="00596C71">
        <w:tc>
          <w:tcPr>
            <w:tcW w:w="2537" w:type="dxa"/>
            <w:gridSpan w:val="2"/>
            <w:tcBorders>
              <w:top w:val="nil"/>
              <w:left w:val="nil"/>
              <w:bottom w:val="nil"/>
              <w:right w:val="nil"/>
            </w:tcBorders>
          </w:tcPr>
          <w:p w:rsidR="00F60B5F" w:rsidRPr="00E1323B" w:rsidRDefault="00F60B5F" w:rsidP="00262698">
            <w:pPr>
              <w:pStyle w:val="Tabletext"/>
              <w:rPr>
                <w:rFonts w:eastAsiaTheme="minorEastAsia"/>
                <w:sz w:val="19"/>
                <w:szCs w:val="19"/>
                <w:vertAlign w:val="superscript"/>
                <w:lang w:eastAsia="en-AU"/>
              </w:rPr>
            </w:pPr>
            <w:r w:rsidRPr="00E1323B">
              <w:rPr>
                <w:rFonts w:eastAsiaTheme="minorEastAsia"/>
                <w:sz w:val="19"/>
                <w:szCs w:val="19"/>
                <w:lang w:eastAsia="en-AU"/>
              </w:rPr>
              <w:t>Loans receivable from non</w:t>
            </w:r>
            <w:r>
              <w:rPr>
                <w:rFonts w:eastAsiaTheme="minorEastAsia"/>
                <w:sz w:val="19"/>
                <w:szCs w:val="19"/>
                <w:lang w:eastAsia="en-AU"/>
              </w:rPr>
              <w:noBreakHyphen/>
            </w:r>
            <w:r w:rsidRPr="00E1323B">
              <w:rPr>
                <w:rFonts w:eastAsiaTheme="minorEastAsia"/>
                <w:sz w:val="19"/>
                <w:szCs w:val="19"/>
                <w:lang w:eastAsia="en-AU"/>
              </w:rPr>
              <w:t>financial public sector</w:t>
            </w:r>
            <w:r>
              <w:rPr>
                <w:rFonts w:eastAsiaTheme="minorEastAsia"/>
                <w:sz w:val="19"/>
                <w:szCs w:val="19"/>
                <w:lang w:eastAsia="en-AU"/>
              </w:rPr>
              <w:t xml:space="preserve"> </w:t>
            </w:r>
            <w:r w:rsidRPr="00E1323B">
              <w:rPr>
                <w:rFonts w:eastAsiaTheme="minorEastAsia"/>
                <w:sz w:val="19"/>
                <w:szCs w:val="19"/>
                <w:vertAlign w:val="superscript"/>
                <w:lang w:eastAsia="en-AU"/>
              </w:rPr>
              <w:t>(a)</w:t>
            </w:r>
          </w:p>
        </w:tc>
        <w:tc>
          <w:tcPr>
            <w:tcW w:w="763"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33 501.6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38 045.1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37 996.4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41 352.7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40 806.9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40 564.9</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Receivables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3 122.3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3 134.1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2 757.1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2 789.8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2 859.3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2 945.6</w:t>
            </w:r>
          </w:p>
        </w:tc>
      </w:tr>
      <w:tr w:rsidR="00F60B5F" w:rsidRPr="00E1323B" w:rsidTr="00E1323B">
        <w:tc>
          <w:tcPr>
            <w:tcW w:w="2408"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financial assets</w:t>
            </w:r>
          </w:p>
        </w:tc>
        <w:tc>
          <w:tcPr>
            <w:tcW w:w="892" w:type="dxa"/>
            <w:gridSpan w:val="3"/>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66 392.7</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72 315.3</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71 508.1</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76 483.3</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75 860.8</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77 596.8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Non</w:t>
            </w:r>
            <w:r>
              <w:rPr>
                <w:rFonts w:eastAsiaTheme="minorEastAsia"/>
                <w:b/>
                <w:bCs/>
                <w:sz w:val="19"/>
                <w:szCs w:val="19"/>
                <w:lang w:eastAsia="en-AU"/>
              </w:rPr>
              <w:noBreakHyphen/>
            </w:r>
            <w:r w:rsidRPr="00E1323B">
              <w:rPr>
                <w:rFonts w:eastAsiaTheme="minorEastAsia"/>
                <w:b/>
                <w:bCs/>
                <w:sz w:val="19"/>
                <w:szCs w:val="19"/>
                <w:lang w:eastAsia="en-AU"/>
              </w:rPr>
              <w:t>financial assets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Non</w:t>
            </w:r>
            <w:r>
              <w:rPr>
                <w:rFonts w:eastAsiaTheme="minorEastAsia"/>
                <w:sz w:val="19"/>
                <w:szCs w:val="19"/>
                <w:lang w:eastAsia="en-AU"/>
              </w:rPr>
              <w:noBreakHyphen/>
            </w:r>
            <w:r w:rsidRPr="00E1323B">
              <w:rPr>
                <w:rFonts w:eastAsiaTheme="minorEastAsia"/>
                <w:sz w:val="19"/>
                <w:szCs w:val="19"/>
                <w:lang w:eastAsia="en-AU"/>
              </w:rPr>
              <w:t>financial assets held for sale</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26.4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26.4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E1323B">
        <w:tc>
          <w:tcPr>
            <w:tcW w:w="2569" w:type="dxa"/>
            <w:gridSpan w:val="3"/>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Land, buildings, infrastructure, plant and equipment</w:t>
            </w:r>
          </w:p>
        </w:tc>
        <w:tc>
          <w:tcPr>
            <w:tcW w:w="731"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63.8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67.7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81.6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79.5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63.3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57.3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non</w:t>
            </w:r>
            <w:r>
              <w:rPr>
                <w:rFonts w:eastAsiaTheme="minorEastAsia"/>
                <w:sz w:val="19"/>
                <w:szCs w:val="19"/>
                <w:lang w:eastAsia="en-AU"/>
              </w:rPr>
              <w:noBreakHyphen/>
            </w:r>
            <w:r w:rsidRPr="00E1323B">
              <w:rPr>
                <w:rFonts w:eastAsiaTheme="minorEastAsia"/>
                <w:sz w:val="19"/>
                <w:szCs w:val="19"/>
                <w:lang w:eastAsia="en-AU"/>
              </w:rPr>
              <w:t>financial assets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1 710.2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1 632.1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1 616.1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1 461.3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1 272.3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1 060.9</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non</w:t>
            </w:r>
            <w:r>
              <w:rPr>
                <w:rFonts w:eastAsiaTheme="minorEastAsia"/>
                <w:b/>
                <w:bCs/>
                <w:sz w:val="19"/>
                <w:szCs w:val="19"/>
                <w:lang w:eastAsia="en-AU"/>
              </w:rPr>
              <w:noBreakHyphen/>
            </w:r>
            <w:r w:rsidRPr="00E1323B">
              <w:rPr>
                <w:rFonts w:eastAsiaTheme="minorEastAsia"/>
                <w:b/>
                <w:bCs/>
                <w:sz w:val="19"/>
                <w:szCs w:val="19"/>
                <w:lang w:eastAsia="en-AU"/>
              </w:rPr>
              <w:t>financial assets</w:t>
            </w:r>
          </w:p>
        </w:tc>
        <w:tc>
          <w:tcPr>
            <w:tcW w:w="892"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1 800.4</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1 726.2</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1 697.7</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1 540.8</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1 335.6</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1 118.3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assets</w:t>
            </w:r>
          </w:p>
        </w:tc>
        <w:tc>
          <w:tcPr>
            <w:tcW w:w="892" w:type="dxa"/>
            <w:gridSpan w:val="3"/>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68 193.1</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74 041.5</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73 205.9</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78 024.1</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77 196.4</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78 715.1</w:t>
            </w:r>
          </w:p>
        </w:tc>
      </w:tr>
      <w:tr w:rsidR="00F60B5F" w:rsidRPr="00E1323B" w:rsidTr="00E1323B">
        <w:trPr>
          <w:trHeight w:hRule="exact" w:val="120"/>
        </w:trPr>
        <w:tc>
          <w:tcPr>
            <w:tcW w:w="2408" w:type="dxa"/>
            <w:tcBorders>
              <w:top w:val="nil"/>
              <w:left w:val="nil"/>
              <w:bottom w:val="nil"/>
              <w:right w:val="nil"/>
            </w:tcBorders>
          </w:tcPr>
          <w:p w:rsidR="00F60B5F" w:rsidRPr="00E1323B" w:rsidRDefault="00F60B5F" w:rsidP="00E1323B">
            <w:pPr>
              <w:pStyle w:val="Tabletext"/>
              <w:rPr>
                <w:rFonts w:ascii="Arial" w:eastAsiaTheme="minorEastAsia" w:hAnsi="Arial" w:cs="Arial"/>
                <w:sz w:val="19"/>
                <w:szCs w:val="19"/>
                <w:lang w:eastAsia="en-AU"/>
              </w:rPr>
            </w:pP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Liabilities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Deposits held and advances received</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5 986.4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5 998.6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5 876.1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5 950.5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5 955.9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6 124.2</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Payables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2 138.5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2 204.7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2 229.7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2 304.7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2 380.6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2 477.9</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vertAlign w:val="superscript"/>
                <w:lang w:eastAsia="en-AU"/>
              </w:rPr>
            </w:pPr>
            <w:r w:rsidRPr="00E1323B">
              <w:rPr>
                <w:rFonts w:eastAsiaTheme="minorEastAsia"/>
                <w:sz w:val="19"/>
                <w:szCs w:val="19"/>
                <w:lang w:eastAsia="en-AU"/>
              </w:rPr>
              <w:t xml:space="preserve">Borrowings </w:t>
            </w:r>
            <w:r w:rsidRPr="00E1323B">
              <w:rPr>
                <w:rFonts w:eastAsiaTheme="minorEastAsia"/>
                <w:sz w:val="19"/>
                <w:szCs w:val="19"/>
                <w:vertAlign w:val="superscript"/>
                <w:lang w:eastAsia="en-AU"/>
              </w:rPr>
              <w:t>(b)</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38 303.9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42 929.0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42 052.2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45 377.0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43 402.7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43 155.8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Employee benefits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89.5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91.3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81.0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82.9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82.1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86.5</w:t>
            </w:r>
          </w:p>
        </w:tc>
      </w:tr>
      <w:tr w:rsidR="00F60B5F" w:rsidRPr="00E1323B" w:rsidTr="00F95210">
        <w:tc>
          <w:tcPr>
            <w:tcW w:w="2408" w:type="dxa"/>
            <w:tcBorders>
              <w:top w:val="nil"/>
              <w:left w:val="nil"/>
              <w:bottom w:val="single" w:sz="6" w:space="0" w:color="auto"/>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provisions</w:t>
            </w:r>
          </w:p>
        </w:tc>
        <w:tc>
          <w:tcPr>
            <w:tcW w:w="892"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22 527.5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23 546.4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23 492.4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24 583.9</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25 761.2</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27 014.3</w:t>
            </w:r>
          </w:p>
        </w:tc>
      </w:tr>
      <w:tr w:rsidR="00F60B5F" w:rsidRPr="00E1323B" w:rsidTr="00F95210">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liabilities</w:t>
            </w:r>
          </w:p>
        </w:tc>
        <w:tc>
          <w:tcPr>
            <w:tcW w:w="892"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69 045.9</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74 770.1</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73 731.5</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78 299.0</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77 582.5</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78 858.8</w:t>
            </w:r>
          </w:p>
        </w:tc>
      </w:tr>
      <w:tr w:rsidR="00F60B5F" w:rsidRPr="00E1323B" w:rsidTr="00F95210">
        <w:tc>
          <w:tcPr>
            <w:tcW w:w="240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vertAlign w:val="superscript"/>
                <w:lang w:eastAsia="en-AU"/>
              </w:rPr>
            </w:pPr>
            <w:r w:rsidRPr="00E1323B">
              <w:rPr>
                <w:rFonts w:eastAsiaTheme="minorEastAsia"/>
                <w:b/>
                <w:bCs/>
                <w:sz w:val="19"/>
                <w:szCs w:val="19"/>
                <w:lang w:eastAsia="en-AU"/>
              </w:rPr>
              <w:t xml:space="preserve">Net assets </w:t>
            </w:r>
            <w:r w:rsidRPr="00E1323B">
              <w:rPr>
                <w:rFonts w:eastAsiaTheme="minorEastAsia"/>
                <w:b/>
                <w:bCs/>
                <w:sz w:val="19"/>
                <w:szCs w:val="19"/>
                <w:vertAlign w:val="superscript"/>
                <w:lang w:eastAsia="en-AU"/>
              </w:rPr>
              <w:t>(c)</w:t>
            </w:r>
          </w:p>
        </w:tc>
        <w:tc>
          <w:tcPr>
            <w:tcW w:w="892" w:type="dxa"/>
            <w:gridSpan w:val="3"/>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( 852.8)</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( 728.6)</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( 525.6)</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( 274.9)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( 386.1)</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( 143.7)</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Accumulated surplus/(deficit)</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(1 765.4)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(1 669.5)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( 966.3)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( 739.9)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( 511.3)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( 292.6)</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Reserves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912.6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940.9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440.7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465.0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125.1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148.9</w:t>
            </w:r>
          </w:p>
        </w:tc>
      </w:tr>
      <w:tr w:rsidR="00F60B5F" w:rsidRPr="00E1323B" w:rsidTr="00E1323B">
        <w:tc>
          <w:tcPr>
            <w:tcW w:w="240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vertAlign w:val="superscript"/>
                <w:lang w:eastAsia="en-AU"/>
              </w:rPr>
            </w:pPr>
            <w:r w:rsidRPr="00E1323B">
              <w:rPr>
                <w:rFonts w:eastAsiaTheme="minorEastAsia"/>
                <w:b/>
                <w:bCs/>
                <w:sz w:val="19"/>
                <w:szCs w:val="19"/>
                <w:lang w:eastAsia="en-AU"/>
              </w:rPr>
              <w:t xml:space="preserve">Net worth </w:t>
            </w:r>
            <w:r w:rsidRPr="00E1323B">
              <w:rPr>
                <w:rFonts w:eastAsiaTheme="minorEastAsia"/>
                <w:b/>
                <w:bCs/>
                <w:sz w:val="19"/>
                <w:szCs w:val="19"/>
                <w:vertAlign w:val="superscript"/>
                <w:lang w:eastAsia="en-AU"/>
              </w:rPr>
              <w:t>(c)</w:t>
            </w:r>
          </w:p>
        </w:tc>
        <w:tc>
          <w:tcPr>
            <w:tcW w:w="892" w:type="dxa"/>
            <w:gridSpan w:val="3"/>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( 852.8)</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( 728.6)</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( 525.6)</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( 274.9)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( 386.1)</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( 143.7)</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FISCAL AGGREGATES</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 xml:space="preserve">Net financial worth </w:t>
            </w:r>
          </w:p>
        </w:tc>
        <w:tc>
          <w:tcPr>
            <w:tcW w:w="892"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(2 653.2)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(2 454.8)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(2 223.3)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(1 815.7)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(1 721.7)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(1 262.0)</w:t>
            </w:r>
          </w:p>
        </w:tc>
      </w:tr>
      <w:tr w:rsidR="00F60B5F" w:rsidRPr="00E1323B" w:rsidTr="00E1323B">
        <w:tc>
          <w:tcPr>
            <w:tcW w:w="2408" w:type="dxa"/>
            <w:tcBorders>
              <w:top w:val="nil"/>
              <w:left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financial liabilities</w:t>
            </w:r>
          </w:p>
        </w:tc>
        <w:tc>
          <w:tcPr>
            <w:tcW w:w="892" w:type="dxa"/>
            <w:gridSpan w:val="3"/>
            <w:tcBorders>
              <w:top w:val="nil"/>
              <w:left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2 653.2</w:t>
            </w:r>
          </w:p>
        </w:tc>
        <w:tc>
          <w:tcPr>
            <w:tcW w:w="892" w:type="dxa"/>
            <w:tcBorders>
              <w:top w:val="nil"/>
              <w:left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2 454.8</w:t>
            </w:r>
          </w:p>
        </w:tc>
        <w:tc>
          <w:tcPr>
            <w:tcW w:w="892" w:type="dxa"/>
            <w:tcBorders>
              <w:top w:val="nil"/>
              <w:left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2 223.3</w:t>
            </w:r>
          </w:p>
        </w:tc>
        <w:tc>
          <w:tcPr>
            <w:tcW w:w="892" w:type="dxa"/>
            <w:tcBorders>
              <w:top w:val="nil"/>
              <w:left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1 815.7</w:t>
            </w:r>
          </w:p>
        </w:tc>
        <w:tc>
          <w:tcPr>
            <w:tcW w:w="892" w:type="dxa"/>
            <w:tcBorders>
              <w:top w:val="nil"/>
              <w:left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1 721.7</w:t>
            </w:r>
          </w:p>
        </w:tc>
        <w:tc>
          <w:tcPr>
            <w:tcW w:w="892" w:type="dxa"/>
            <w:tcBorders>
              <w:top w:val="nil"/>
              <w:left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1 262.0</w:t>
            </w:r>
          </w:p>
        </w:tc>
      </w:tr>
      <w:tr w:rsidR="00F60B5F" w:rsidRPr="00E1323B" w:rsidTr="00E1323B">
        <w:tc>
          <w:tcPr>
            <w:tcW w:w="2408" w:type="dxa"/>
            <w:tcBorders>
              <w:top w:val="nil"/>
              <w:left w:val="nil"/>
              <w:bottom w:val="single" w:sz="12" w:space="0" w:color="000000"/>
              <w:right w:val="nil"/>
            </w:tcBorders>
            <w:shd w:val="clear" w:color="auto" w:fill="auto"/>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debt</w:t>
            </w:r>
          </w:p>
        </w:tc>
        <w:tc>
          <w:tcPr>
            <w:tcW w:w="892" w:type="dxa"/>
            <w:gridSpan w:val="3"/>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(18 980.1)</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(20 253.6)</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(20 822.7)</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(22 365.9)</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(23 642.9)</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(25 371.1)</w:t>
            </w:r>
          </w:p>
        </w:tc>
      </w:tr>
    </w:tbl>
    <w:p w:rsidR="00F60B5F" w:rsidRPr="00F27D04" w:rsidRDefault="00F60B5F" w:rsidP="00CD69C2">
      <w:pPr>
        <w:pStyle w:val="Source"/>
      </w:pPr>
      <w:r w:rsidRPr="00F27D04">
        <w:t>Source: Department of Treasury and Finance</w:t>
      </w:r>
    </w:p>
    <w:p w:rsidR="00F60B5F" w:rsidRDefault="00F60B5F" w:rsidP="009B0A8F">
      <w:pPr>
        <w:pStyle w:val="Notes"/>
      </w:pPr>
      <w:r w:rsidRPr="00F27D04">
        <w:t>Notes:</w:t>
      </w:r>
    </w:p>
    <w:p w:rsidR="00F60B5F" w:rsidRPr="00F27D04" w:rsidRDefault="00F60B5F" w:rsidP="007E1E75">
      <w:pPr>
        <w:pStyle w:val="Notes"/>
      </w:pPr>
      <w:r>
        <w:t>(a)</w:t>
      </w:r>
      <w:r>
        <w:tab/>
      </w:r>
      <w:r w:rsidRPr="00F27D04">
        <w:t>Loans receivable from the non</w:t>
      </w:r>
      <w:r>
        <w:noBreakHyphen/>
      </w:r>
      <w:r w:rsidRPr="00F27D04">
        <w:t>financial public sector are measured at amortised cost.</w:t>
      </w:r>
    </w:p>
    <w:p w:rsidR="00F60B5F" w:rsidRPr="00F27D04" w:rsidRDefault="00F60B5F" w:rsidP="007E1E75">
      <w:pPr>
        <w:pStyle w:val="Notes"/>
      </w:pPr>
      <w:r w:rsidRPr="00F27D04">
        <w:t xml:space="preserve">(b) </w:t>
      </w:r>
      <w:r w:rsidRPr="00F27D04">
        <w:tab/>
        <w:t>Borrowings with the private sector are reported at market value.</w:t>
      </w:r>
    </w:p>
    <w:p w:rsidR="00F60B5F" w:rsidRPr="00F27D04" w:rsidRDefault="00F60B5F" w:rsidP="007E1E75">
      <w:pPr>
        <w:pStyle w:val="Notes"/>
      </w:pPr>
      <w:r w:rsidRPr="00F27D04">
        <w:t>(c)</w:t>
      </w:r>
      <w:r w:rsidRPr="00F27D04">
        <w:tab/>
        <w:t>Treasury Corporation of Victoria’s external loan liabilities are reported at marked</w:t>
      </w:r>
      <w:r>
        <w:noBreakHyphen/>
      </w:r>
      <w:r w:rsidRPr="00F27D04">
        <w:t>to</w:t>
      </w:r>
      <w:r>
        <w:noBreakHyphen/>
      </w:r>
      <w:r w:rsidRPr="00F27D04">
        <w:t>market while the corresponding assets, that is lending to the non</w:t>
      </w:r>
      <w:r>
        <w:noBreakHyphen/>
      </w:r>
      <w:r w:rsidRPr="00F27D04">
        <w:t>financial public sector, are reported at historical value. This mismatch results in the negative net asset position of the sector.</w:t>
      </w:r>
    </w:p>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6.16:</w:t>
      </w:r>
      <w:r w:rsidRPr="00F27D04">
        <w:tab/>
        <w:t>Public financial corporations sector cash flow statement</w:t>
      </w:r>
    </w:p>
    <w:p w:rsidR="00F60B5F" w:rsidRPr="00E1323B" w:rsidRDefault="00F60B5F" w:rsidP="00E1323B">
      <w:pPr>
        <w:pStyle w:val="million"/>
      </w:pPr>
      <w:r w:rsidRPr="00F27D04">
        <w:t>($</w:t>
      </w:r>
      <w:r>
        <w:t> million</w:t>
      </w:r>
      <w:r w:rsidRPr="00F27D04">
        <w:t>)</w:t>
      </w:r>
    </w:p>
    <w:tbl>
      <w:tblPr>
        <w:tblW w:w="7760" w:type="dxa"/>
        <w:tblInd w:w="28" w:type="dxa"/>
        <w:tblLayout w:type="fixed"/>
        <w:tblCellMar>
          <w:left w:w="43" w:type="dxa"/>
          <w:right w:w="43" w:type="dxa"/>
        </w:tblCellMar>
        <w:tblLook w:val="0000" w:firstRow="0" w:lastRow="0" w:firstColumn="0" w:lastColumn="0" w:noHBand="0" w:noVBand="0"/>
      </w:tblPr>
      <w:tblGrid>
        <w:gridCol w:w="2535"/>
        <w:gridCol w:w="457"/>
        <w:gridCol w:w="142"/>
        <w:gridCol w:w="271"/>
        <w:gridCol w:w="871"/>
        <w:gridCol w:w="871"/>
        <w:gridCol w:w="871"/>
        <w:gridCol w:w="871"/>
        <w:gridCol w:w="871"/>
      </w:tblGrid>
      <w:tr w:rsidR="00F60B5F" w:rsidRPr="00E1323B" w:rsidTr="005C751E">
        <w:trPr>
          <w:tblHeader/>
        </w:trPr>
        <w:tc>
          <w:tcPr>
            <w:tcW w:w="2535" w:type="dxa"/>
            <w:tcBorders>
              <w:top w:val="single" w:sz="6" w:space="0" w:color="000000"/>
              <w:left w:val="single" w:sz="6" w:space="0" w:color="000000"/>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70" w:type="dxa"/>
            <w:gridSpan w:val="3"/>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2012</w:t>
            </w:r>
            <w:r>
              <w:rPr>
                <w:rFonts w:eastAsiaTheme="minorEastAsia"/>
                <w:color w:val="FFFFFF"/>
                <w:lang w:eastAsia="en-AU"/>
              </w:rPr>
              <w:noBreakHyphen/>
            </w:r>
            <w:r w:rsidRPr="00E1323B">
              <w:rPr>
                <w:rFonts w:eastAsiaTheme="minorEastAsia"/>
                <w:color w:val="FFFFFF"/>
                <w:lang w:eastAsia="en-AU"/>
              </w:rPr>
              <w:t>13</w:t>
            </w:r>
          </w:p>
        </w:tc>
        <w:tc>
          <w:tcPr>
            <w:tcW w:w="871"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71"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2013</w:t>
            </w:r>
            <w:r>
              <w:rPr>
                <w:rFonts w:eastAsiaTheme="minorEastAsia"/>
                <w:color w:val="FFFFFF"/>
                <w:lang w:eastAsia="en-AU"/>
              </w:rPr>
              <w:noBreakHyphen/>
            </w:r>
            <w:r w:rsidRPr="00E1323B">
              <w:rPr>
                <w:rFonts w:eastAsiaTheme="minorEastAsia"/>
                <w:color w:val="FFFFFF"/>
                <w:lang w:eastAsia="en-AU"/>
              </w:rPr>
              <w:t>14</w:t>
            </w:r>
          </w:p>
        </w:tc>
        <w:tc>
          <w:tcPr>
            <w:tcW w:w="871"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2014</w:t>
            </w:r>
            <w:r>
              <w:rPr>
                <w:rFonts w:eastAsiaTheme="minorEastAsia"/>
                <w:color w:val="FFFFFF"/>
                <w:lang w:eastAsia="en-AU"/>
              </w:rPr>
              <w:noBreakHyphen/>
            </w:r>
            <w:r w:rsidRPr="00E1323B">
              <w:rPr>
                <w:rFonts w:eastAsiaTheme="minorEastAsia"/>
                <w:color w:val="FFFFFF"/>
                <w:lang w:eastAsia="en-AU"/>
              </w:rPr>
              <w:t>15</w:t>
            </w:r>
          </w:p>
        </w:tc>
        <w:tc>
          <w:tcPr>
            <w:tcW w:w="871" w:type="dxa"/>
            <w:tcBorders>
              <w:top w:val="single" w:sz="6" w:space="0" w:color="000000"/>
              <w:left w:val="nil"/>
              <w:bottom w:val="nil"/>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2015</w:t>
            </w:r>
            <w:r>
              <w:rPr>
                <w:rFonts w:eastAsiaTheme="minorEastAsia"/>
                <w:color w:val="FFFFFF"/>
                <w:lang w:eastAsia="en-AU"/>
              </w:rPr>
              <w:noBreakHyphen/>
            </w:r>
            <w:r w:rsidRPr="00E1323B">
              <w:rPr>
                <w:rFonts w:eastAsiaTheme="minorEastAsia"/>
                <w:color w:val="FFFFFF"/>
                <w:lang w:eastAsia="en-AU"/>
              </w:rPr>
              <w:t>16</w:t>
            </w:r>
          </w:p>
        </w:tc>
        <w:tc>
          <w:tcPr>
            <w:tcW w:w="871" w:type="dxa"/>
            <w:tcBorders>
              <w:top w:val="single" w:sz="6" w:space="0" w:color="000000"/>
              <w:left w:val="nil"/>
              <w:bottom w:val="nil"/>
              <w:right w:val="single" w:sz="6" w:space="0" w:color="000000"/>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2016</w:t>
            </w:r>
            <w:r>
              <w:rPr>
                <w:rFonts w:eastAsiaTheme="minorEastAsia"/>
                <w:color w:val="FFFFFF"/>
                <w:lang w:eastAsia="en-AU"/>
              </w:rPr>
              <w:noBreakHyphen/>
            </w:r>
            <w:r w:rsidRPr="00E1323B">
              <w:rPr>
                <w:rFonts w:eastAsiaTheme="minorEastAsia"/>
                <w:color w:val="FFFFFF"/>
                <w:lang w:eastAsia="en-AU"/>
              </w:rPr>
              <w:t>17</w:t>
            </w:r>
          </w:p>
        </w:tc>
      </w:tr>
      <w:tr w:rsidR="00F60B5F" w:rsidRPr="00E1323B" w:rsidTr="005C751E">
        <w:trPr>
          <w:tblHeader/>
        </w:trPr>
        <w:tc>
          <w:tcPr>
            <w:tcW w:w="2535" w:type="dxa"/>
            <w:tcBorders>
              <w:left w:val="single" w:sz="6" w:space="0" w:color="000000"/>
              <w:bottom w:val="single" w:sz="6" w:space="0" w:color="000000"/>
              <w:right w:val="nil"/>
            </w:tcBorders>
            <w:shd w:val="clear" w:color="auto" w:fill="000000"/>
          </w:tcPr>
          <w:p w:rsidR="00F60B5F" w:rsidRPr="00E1323B" w:rsidRDefault="00F60B5F" w:rsidP="00E1323B">
            <w:pPr>
              <w:pStyle w:val="Tabletextheading"/>
              <w:rPr>
                <w:rFonts w:eastAsiaTheme="minorEastAsia"/>
                <w:b/>
                <w:bCs/>
                <w:color w:val="FFFFFF"/>
                <w:lang w:eastAsia="en-AU"/>
              </w:rPr>
            </w:pPr>
            <w:r w:rsidRPr="00E1323B">
              <w:rPr>
                <w:rFonts w:eastAsiaTheme="minorEastAsia"/>
                <w:b/>
                <w:bCs/>
                <w:color w:val="FFFFFF"/>
                <w:lang w:eastAsia="en-AU"/>
              </w:rPr>
              <w:t xml:space="preserve"> </w:t>
            </w:r>
          </w:p>
        </w:tc>
        <w:tc>
          <w:tcPr>
            <w:tcW w:w="870" w:type="dxa"/>
            <w:gridSpan w:val="3"/>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Actual</w:t>
            </w:r>
          </w:p>
        </w:tc>
        <w:tc>
          <w:tcPr>
            <w:tcW w:w="871" w:type="dxa"/>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Budget</w:t>
            </w:r>
          </w:p>
        </w:tc>
        <w:tc>
          <w:tcPr>
            <w:tcW w:w="871" w:type="dxa"/>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Revised</w:t>
            </w:r>
          </w:p>
        </w:tc>
        <w:tc>
          <w:tcPr>
            <w:tcW w:w="871" w:type="dxa"/>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71" w:type="dxa"/>
            <w:tcBorders>
              <w:left w:val="nil"/>
              <w:bottom w:val="single" w:sz="6" w:space="0" w:color="000000"/>
              <w:right w:val="nil"/>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c>
          <w:tcPr>
            <w:tcW w:w="871" w:type="dxa"/>
            <w:tcBorders>
              <w:left w:val="nil"/>
              <w:bottom w:val="single" w:sz="6" w:space="0" w:color="000000"/>
              <w:right w:val="single" w:sz="6" w:space="0" w:color="000000"/>
            </w:tcBorders>
            <w:shd w:val="clear" w:color="auto"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Estimate</w:t>
            </w:r>
          </w:p>
        </w:tc>
      </w:tr>
      <w:tr w:rsidR="00F60B5F" w:rsidRPr="00E1323B" w:rsidTr="00E1323B">
        <w:tc>
          <w:tcPr>
            <w:tcW w:w="3134" w:type="dxa"/>
            <w:gridSpan w:val="3"/>
            <w:tcBorders>
              <w:top w:val="single" w:sz="6" w:space="0" w:color="000000"/>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operating activities</w:t>
            </w:r>
          </w:p>
        </w:tc>
        <w:tc>
          <w:tcPr>
            <w:tcW w:w="271"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Receipts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Grants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0.1</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0.1</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0.1</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 xml:space="preserve">Sales of goods and services </w:t>
            </w:r>
            <w:r w:rsidRPr="00E1323B">
              <w:rPr>
                <w:rFonts w:eastAsiaTheme="minorEastAsia"/>
                <w:sz w:val="19"/>
                <w:vertAlign w:val="superscript"/>
                <w:lang w:eastAsia="en-AU"/>
              </w:rPr>
              <w:t>(a)</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4 116.4</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4 376.3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4 355.3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4 559.9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4 775.5</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4 970.5</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2 202.6</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2 613.5</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2 578.1</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2 785.2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2 914.6</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2 794.3</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299.9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434.1</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497.2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525.9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560.4</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596.8</w:t>
            </w:r>
          </w:p>
        </w:tc>
      </w:tr>
      <w:tr w:rsidR="00F60B5F" w:rsidRPr="00E1323B" w:rsidTr="00E1323B">
        <w:tc>
          <w:tcPr>
            <w:tcW w:w="2535"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receipts</w:t>
            </w:r>
          </w:p>
        </w:tc>
        <w:tc>
          <w:tcPr>
            <w:tcW w:w="870"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68.4</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4.6</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6.7</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5.2</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9.1</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13.9</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receipts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6 690.2</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7 428.5</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7 437.3</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7 876.3</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8 259.8</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8 375.6</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Payments</w:t>
            </w:r>
          </w:p>
        </w:tc>
        <w:tc>
          <w:tcPr>
            <w:tcW w:w="870" w:type="dxa"/>
            <w:gridSpan w:val="3"/>
            <w:tcBorders>
              <w:top w:val="nil"/>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Payments for employees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( 288.5)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( 305.4)</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( 315.4)</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( 311.0)</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( 318.8)</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( 308.7)</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Superannuation</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( 23.3)</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( 24.7)</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( 23.8)</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( 24.4)</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( 24.9)</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( 24.6)</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Interest</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(1 954.5)</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(2 196.2)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(2 070.5)</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(2 300.8)</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(2 391.3)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(2 383.0)</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Grants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 w:val="19"/>
                <w:szCs w:val="22"/>
                <w:lang w:eastAsia="en-AU"/>
              </w:rPr>
            </w:pPr>
            <w:r w:rsidRPr="00E1323B">
              <w:rPr>
                <w:rFonts w:eastAsiaTheme="minorEastAsia"/>
                <w:sz w:val="19"/>
                <w:szCs w:val="22"/>
                <w:lang w:eastAsia="en-AU"/>
              </w:rPr>
              <w:t>.</w:t>
            </w:r>
            <w:r w:rsidRPr="00E1323B">
              <w:rPr>
                <w:rFonts w:eastAsiaTheme="minorEastAsia" w:cs="Calibri"/>
                <w:sz w:val="19"/>
                <w:szCs w:val="22"/>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 xml:space="preserve">Goods and services </w:t>
            </w:r>
            <w:r w:rsidRPr="00E1323B">
              <w:rPr>
                <w:rFonts w:eastAsiaTheme="minorEastAsia"/>
                <w:sz w:val="19"/>
                <w:vertAlign w:val="superscript"/>
                <w:lang w:eastAsia="en-AU"/>
              </w:rPr>
              <w:t>(a)</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(3 685.9)</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(4 136.6)</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(4 131.0)</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(4 223.1)</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(4 402.7)</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(4 520.0)</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payments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( 16.5)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( 19.2)</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( 18.7)</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( 18.8)</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( 21.2)</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( 3.5)</w:t>
            </w:r>
          </w:p>
        </w:tc>
      </w:tr>
      <w:tr w:rsidR="00F60B5F" w:rsidRPr="00E1323B" w:rsidTr="00E1323B">
        <w:tc>
          <w:tcPr>
            <w:tcW w:w="2535"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payments</w:t>
            </w:r>
          </w:p>
        </w:tc>
        <w:tc>
          <w:tcPr>
            <w:tcW w:w="870"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(5 968.6)</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(6 682.1)</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(6 559.4)</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(6 878.2)</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(7 158.9)</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(7 239.8)</w:t>
            </w:r>
          </w:p>
        </w:tc>
      </w:tr>
      <w:tr w:rsidR="00F60B5F" w:rsidRPr="00E1323B" w:rsidTr="00E1323B">
        <w:tc>
          <w:tcPr>
            <w:tcW w:w="2535"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operating activities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721.6</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746.4</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877.9</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998.1</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1 100.9</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1 135.8</w:t>
            </w:r>
          </w:p>
        </w:tc>
      </w:tr>
      <w:tr w:rsidR="00F60B5F" w:rsidRPr="00E1323B" w:rsidTr="00E1323B">
        <w:tc>
          <w:tcPr>
            <w:tcW w:w="2992" w:type="dxa"/>
            <w:gridSpan w:val="2"/>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investing activities</w:t>
            </w:r>
          </w:p>
        </w:tc>
        <w:tc>
          <w:tcPr>
            <w:tcW w:w="413" w:type="dxa"/>
            <w:gridSpan w:val="2"/>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Purchases of non</w:t>
            </w:r>
            <w:r>
              <w:rPr>
                <w:rFonts w:eastAsiaTheme="minorEastAsia"/>
                <w:sz w:val="19"/>
                <w:lang w:eastAsia="en-AU"/>
              </w:rPr>
              <w:noBreakHyphen/>
            </w:r>
            <w:r w:rsidRPr="00E1323B">
              <w:rPr>
                <w:rFonts w:eastAsiaTheme="minorEastAsia"/>
                <w:sz w:val="19"/>
                <w:lang w:eastAsia="en-AU"/>
              </w:rPr>
              <w:t>financial assets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( 74.4)</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( 87.4)</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( 94.4)</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( 66.0)</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( 48.9)</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( 58.0)</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Sales of non</w:t>
            </w:r>
            <w:r>
              <w:rPr>
                <w:rFonts w:eastAsiaTheme="minorEastAsia"/>
                <w:sz w:val="19"/>
                <w:lang w:eastAsia="en-AU"/>
              </w:rPr>
              <w:noBreakHyphen/>
            </w:r>
            <w:r w:rsidRPr="00E1323B">
              <w:rPr>
                <w:rFonts w:eastAsiaTheme="minorEastAsia"/>
                <w:sz w:val="19"/>
                <w:lang w:eastAsia="en-AU"/>
              </w:rPr>
              <w:t>financial assets</w:t>
            </w:r>
          </w:p>
        </w:tc>
        <w:tc>
          <w:tcPr>
            <w:tcW w:w="870"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1.9</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1.6</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18.4</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1.4</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1.4</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0.8</w:t>
            </w:r>
          </w:p>
        </w:tc>
      </w:tr>
      <w:tr w:rsidR="00F60B5F" w:rsidRPr="00E1323B" w:rsidTr="00E1323B">
        <w:tc>
          <w:tcPr>
            <w:tcW w:w="2535" w:type="dxa"/>
            <w:tcBorders>
              <w:top w:val="single" w:sz="6" w:space="0" w:color="auto"/>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Cash flows from investments in non</w:t>
            </w:r>
            <w:r>
              <w:rPr>
                <w:rFonts w:eastAsiaTheme="minorEastAsia"/>
                <w:sz w:val="19"/>
                <w:lang w:eastAsia="en-AU"/>
              </w:rPr>
              <w:noBreakHyphen/>
            </w:r>
            <w:r w:rsidRPr="00E1323B">
              <w:rPr>
                <w:rFonts w:eastAsiaTheme="minorEastAsia"/>
                <w:sz w:val="19"/>
                <w:lang w:eastAsia="en-AU"/>
              </w:rPr>
              <w:t>financial assets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( 72.5)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( 85.8)</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( 76.1)</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( 64.6)</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( 47.5)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( 57.2)</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investments in financial assets for policy purposes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( 46.6)</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( 112.7)</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( 43.9)</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( 125.6)</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( 129.6)</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( 3.0)</w:t>
            </w:r>
          </w:p>
        </w:tc>
      </w:tr>
      <w:tr w:rsidR="00F60B5F" w:rsidRPr="00E1323B" w:rsidTr="00E1323B">
        <w:tc>
          <w:tcPr>
            <w:tcW w:w="2535"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investments in financial assets for liquidity purposes</w:t>
            </w:r>
          </w:p>
        </w:tc>
        <w:tc>
          <w:tcPr>
            <w:tcW w:w="870"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(3 558.2)</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(4 584.2)</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(5 200.0)</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(3 710.9)</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7.5</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( 437.8</w:t>
            </w:r>
            <w:r w:rsidRPr="00E1323B">
              <w:rPr>
                <w:rFonts w:eastAsiaTheme="minorEastAsia" w:cs="Calibri"/>
                <w:sz w:val="19"/>
                <w:szCs w:val="22"/>
                <w:lang w:eastAsia="en-AU"/>
              </w:rPr>
              <w:t>)</w:t>
            </w:r>
          </w:p>
        </w:tc>
      </w:tr>
      <w:tr w:rsidR="00F60B5F" w:rsidRPr="00E1323B" w:rsidTr="00E1323B">
        <w:tc>
          <w:tcPr>
            <w:tcW w:w="2535"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investing activities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(3 677.3)</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(4 782.8)</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(5 320.0)</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(3 901.1)</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b/>
                <w:bCs/>
                <w:szCs w:val="22"/>
                <w:lang w:eastAsia="en-AU"/>
              </w:rPr>
            </w:pPr>
            <w:r w:rsidRPr="00E1323B">
              <w:rPr>
                <w:rFonts w:eastAsiaTheme="minorEastAsia"/>
                <w:b/>
                <w:bCs/>
                <w:sz w:val="19"/>
                <w:szCs w:val="22"/>
                <w:lang w:eastAsia="en-AU"/>
              </w:rPr>
              <w:t>( 169.6</w:t>
            </w:r>
            <w:r w:rsidRPr="00E1323B">
              <w:rPr>
                <w:rFonts w:eastAsiaTheme="minorEastAsia" w:cs="Calibri"/>
                <w:b/>
                <w:bCs/>
                <w:sz w:val="19"/>
                <w:szCs w:val="22"/>
                <w:lang w:eastAsia="en-AU"/>
              </w:rPr>
              <w:t>)</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b/>
                <w:bCs/>
                <w:szCs w:val="22"/>
                <w:lang w:eastAsia="en-AU"/>
              </w:rPr>
            </w:pPr>
            <w:r w:rsidRPr="00E1323B">
              <w:rPr>
                <w:rFonts w:eastAsiaTheme="minorEastAsia"/>
                <w:b/>
                <w:bCs/>
                <w:sz w:val="19"/>
                <w:szCs w:val="22"/>
                <w:lang w:eastAsia="en-AU"/>
              </w:rPr>
              <w:t>( 498.0</w:t>
            </w:r>
            <w:r w:rsidRPr="00E1323B">
              <w:rPr>
                <w:rFonts w:eastAsiaTheme="minorEastAsia" w:cs="Calibri"/>
                <w:b/>
                <w:bCs/>
                <w:sz w:val="19"/>
                <w:szCs w:val="22"/>
                <w:lang w:eastAsia="en-AU"/>
              </w:rPr>
              <w:t>)</w:t>
            </w:r>
          </w:p>
        </w:tc>
      </w:tr>
      <w:tr w:rsidR="00F60B5F" w:rsidRPr="00E1323B" w:rsidTr="00E1323B">
        <w:tc>
          <w:tcPr>
            <w:tcW w:w="2992" w:type="dxa"/>
            <w:gridSpan w:val="2"/>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flows from financing activities</w:t>
            </w:r>
          </w:p>
        </w:tc>
        <w:tc>
          <w:tcPr>
            <w:tcW w:w="413" w:type="dxa"/>
            <w:gridSpan w:val="2"/>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Advances received (net)</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209.6</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1.7</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( 23.1)</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0.9</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borrowings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3 000.0</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4 597.5</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4 304.7</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3 353.5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( 431.4)</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( 218.3</w:t>
            </w:r>
            <w:r w:rsidRPr="00E1323B">
              <w:rPr>
                <w:rFonts w:eastAsiaTheme="minorEastAsia" w:cs="Calibri"/>
                <w:szCs w:val="22"/>
                <w:lang w:eastAsia="en-AU"/>
              </w:rPr>
              <w:t>)</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Deposits received (net)</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( 697.0)</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10.5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( 87.2)</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74.1</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68.3</w:t>
            </w:r>
          </w:p>
        </w:tc>
        <w:tc>
          <w:tcPr>
            <w:tcW w:w="871"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167.4</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financing (net)</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( 443.8)</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( 272.6)</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( 288.5)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( 294.5)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( 365.5)</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lang w:eastAsia="en-AU"/>
              </w:rPr>
              <w:t>( 383.8)</w:t>
            </w:r>
          </w:p>
        </w:tc>
      </w:tr>
      <w:tr w:rsidR="00F60B5F" w:rsidRPr="00E1323B" w:rsidTr="00E1323B">
        <w:tc>
          <w:tcPr>
            <w:tcW w:w="2535"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Net cash flows from financing activities</w:t>
            </w:r>
          </w:p>
        </w:tc>
        <w:tc>
          <w:tcPr>
            <w:tcW w:w="870"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2 068.9</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4 337.1</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3 905.9</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3 133.3</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cs="Calibri"/>
                <w:b/>
                <w:bCs/>
                <w:szCs w:val="22"/>
                <w:lang w:eastAsia="en-AU"/>
              </w:rPr>
            </w:pPr>
            <w:r w:rsidRPr="00E1323B">
              <w:rPr>
                <w:rFonts w:eastAsiaTheme="minorEastAsia"/>
                <w:b/>
                <w:bCs/>
                <w:sz w:val="19"/>
                <w:szCs w:val="22"/>
                <w:lang w:eastAsia="en-AU"/>
              </w:rPr>
              <w:t>( 728.3)</w:t>
            </w:r>
          </w:p>
        </w:tc>
        <w:tc>
          <w:tcPr>
            <w:tcW w:w="87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cs="Calibri"/>
                <w:b/>
                <w:bCs/>
                <w:szCs w:val="22"/>
                <w:lang w:eastAsia="en-AU"/>
              </w:rPr>
            </w:pPr>
            <w:r w:rsidRPr="00E1323B">
              <w:rPr>
                <w:rFonts w:eastAsiaTheme="minorEastAsia"/>
                <w:b/>
                <w:bCs/>
                <w:sz w:val="19"/>
                <w:szCs w:val="22"/>
                <w:lang w:eastAsia="en-AU"/>
              </w:rPr>
              <w:t>( 433.8)</w:t>
            </w:r>
          </w:p>
        </w:tc>
      </w:tr>
      <w:tr w:rsidR="00F60B5F" w:rsidRPr="00E1323B" w:rsidTr="00E1323B">
        <w:tc>
          <w:tcPr>
            <w:tcW w:w="2535" w:type="dxa"/>
            <w:tcBorders>
              <w:top w:val="nil"/>
              <w:left w:val="nil"/>
              <w:bottom w:val="nil"/>
              <w:right w:val="nil"/>
            </w:tcBorders>
          </w:tcPr>
          <w:p w:rsidR="00F60B5F" w:rsidRPr="00E1323B" w:rsidRDefault="00F60B5F" w:rsidP="00E1323B">
            <w:pPr>
              <w:pStyle w:val="Tabletext"/>
              <w:keepNext/>
              <w:ind w:left="187" w:hanging="187"/>
              <w:rPr>
                <w:rFonts w:eastAsiaTheme="minorEastAsia"/>
                <w:b/>
                <w:bCs/>
                <w:sz w:val="19"/>
                <w:lang w:eastAsia="en-AU"/>
              </w:rPr>
            </w:pPr>
            <w:r w:rsidRPr="00E1323B">
              <w:rPr>
                <w:rFonts w:eastAsiaTheme="minorEastAsia"/>
                <w:b/>
                <w:bCs/>
                <w:sz w:val="19"/>
                <w:lang w:eastAsia="en-AU"/>
              </w:rPr>
              <w:t>Net increase/(decrease) in cash and cash equivalents</w:t>
            </w:r>
          </w:p>
        </w:tc>
        <w:tc>
          <w:tcPr>
            <w:tcW w:w="870" w:type="dxa"/>
            <w:gridSpan w:val="3"/>
            <w:tcBorders>
              <w:top w:val="nil"/>
              <w:left w:val="nil"/>
              <w:bottom w:val="nil"/>
              <w:right w:val="nil"/>
            </w:tcBorders>
          </w:tcPr>
          <w:p w:rsidR="00F60B5F" w:rsidRPr="00E1323B" w:rsidRDefault="00F60B5F" w:rsidP="00E1323B">
            <w:pPr>
              <w:pStyle w:val="TableofFigures"/>
              <w:rPr>
                <w:rFonts w:eastAsiaTheme="minorEastAsia" w:cs="Calibri"/>
                <w:b/>
                <w:bCs/>
                <w:szCs w:val="22"/>
                <w:lang w:eastAsia="en-AU"/>
              </w:rPr>
            </w:pPr>
            <w:r w:rsidRPr="00E1323B">
              <w:rPr>
                <w:rFonts w:eastAsiaTheme="minorEastAsia"/>
                <w:b/>
                <w:bCs/>
                <w:sz w:val="19"/>
                <w:szCs w:val="22"/>
                <w:lang w:eastAsia="en-AU"/>
              </w:rPr>
              <w:t>( 886.8)</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300.7</w:t>
            </w:r>
          </w:p>
        </w:tc>
        <w:tc>
          <w:tcPr>
            <w:tcW w:w="871" w:type="dxa"/>
            <w:tcBorders>
              <w:top w:val="nil"/>
              <w:left w:val="nil"/>
              <w:bottom w:val="nil"/>
              <w:right w:val="nil"/>
            </w:tcBorders>
          </w:tcPr>
          <w:p w:rsidR="00F60B5F" w:rsidRPr="00E1323B" w:rsidRDefault="00F60B5F" w:rsidP="00E1323B">
            <w:pPr>
              <w:pStyle w:val="TableofFigures"/>
              <w:rPr>
                <w:rFonts w:eastAsiaTheme="minorEastAsia" w:cs="Calibri"/>
                <w:b/>
                <w:bCs/>
                <w:szCs w:val="22"/>
                <w:lang w:eastAsia="en-AU"/>
              </w:rPr>
            </w:pPr>
            <w:r w:rsidRPr="00E1323B">
              <w:rPr>
                <w:rFonts w:eastAsiaTheme="minorEastAsia"/>
                <w:b/>
                <w:bCs/>
                <w:sz w:val="19"/>
                <w:szCs w:val="22"/>
                <w:lang w:eastAsia="en-AU"/>
              </w:rPr>
              <w:t>( 536.1)</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230.3</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202.9</w:t>
            </w:r>
          </w:p>
        </w:tc>
        <w:tc>
          <w:tcPr>
            <w:tcW w:w="871" w:type="dxa"/>
            <w:tcBorders>
              <w:top w:val="nil"/>
              <w:left w:val="nil"/>
              <w:bottom w:val="nil"/>
              <w:right w:val="nil"/>
            </w:tcBorders>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204.0</w:t>
            </w:r>
          </w:p>
        </w:tc>
      </w:tr>
      <w:tr w:rsidR="00F60B5F" w:rsidRPr="00E1323B" w:rsidTr="00E1323B">
        <w:tc>
          <w:tcPr>
            <w:tcW w:w="2535" w:type="dxa"/>
            <w:tcBorders>
              <w:top w:val="nil"/>
              <w:left w:val="nil"/>
              <w:bottom w:val="nil"/>
              <w:right w:val="nil"/>
            </w:tcBorders>
            <w:shd w:val="clear" w:color="auto" w:fill="auto"/>
          </w:tcPr>
          <w:p w:rsidR="00F60B5F" w:rsidRPr="00E1323B" w:rsidRDefault="00F60B5F" w:rsidP="00E1323B">
            <w:pPr>
              <w:pStyle w:val="Tabletext"/>
              <w:pageBreakBefore/>
              <w:ind w:left="181" w:hanging="181"/>
              <w:rPr>
                <w:rFonts w:eastAsiaTheme="minorEastAsia"/>
                <w:sz w:val="19"/>
                <w:lang w:eastAsia="en-AU"/>
              </w:rPr>
            </w:pPr>
            <w:r w:rsidRPr="00E1323B">
              <w:rPr>
                <w:rFonts w:eastAsiaTheme="minorEastAsia"/>
                <w:sz w:val="19"/>
                <w:lang w:eastAsia="en-AU"/>
              </w:rPr>
              <w:t>Cash and cash equivalents at beginning of reporting period</w:t>
            </w:r>
          </w:p>
        </w:tc>
        <w:tc>
          <w:tcPr>
            <w:tcW w:w="870" w:type="dxa"/>
            <w:gridSpan w:val="3"/>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5 045.2</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4 158.4</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4 158.4</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sz w:val="19"/>
                <w:szCs w:val="22"/>
                <w:lang w:eastAsia="en-AU"/>
              </w:rPr>
            </w:pPr>
            <w:r w:rsidRPr="00E1323B">
              <w:rPr>
                <w:rFonts w:eastAsiaTheme="minorEastAsia"/>
                <w:sz w:val="19"/>
                <w:szCs w:val="22"/>
                <w:lang w:eastAsia="en-AU"/>
              </w:rPr>
              <w:t>3 622.3</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sz w:val="19"/>
                <w:szCs w:val="22"/>
                <w:lang w:eastAsia="en-AU"/>
              </w:rPr>
            </w:pPr>
            <w:r w:rsidRPr="00E1323B">
              <w:rPr>
                <w:rFonts w:eastAsiaTheme="minorEastAsia"/>
                <w:sz w:val="19"/>
                <w:szCs w:val="22"/>
                <w:lang w:eastAsia="en-AU"/>
              </w:rPr>
              <w:t>3 852.6</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sz w:val="19"/>
                <w:szCs w:val="22"/>
                <w:lang w:eastAsia="en-AU"/>
              </w:rPr>
            </w:pPr>
            <w:r w:rsidRPr="00E1323B">
              <w:rPr>
                <w:rFonts w:eastAsiaTheme="minorEastAsia"/>
                <w:sz w:val="19"/>
                <w:szCs w:val="22"/>
                <w:lang w:eastAsia="en-AU"/>
              </w:rPr>
              <w:t>4 055.5</w:t>
            </w:r>
          </w:p>
        </w:tc>
      </w:tr>
      <w:tr w:rsidR="00F60B5F" w:rsidRPr="00E1323B" w:rsidTr="00E1323B">
        <w:tc>
          <w:tcPr>
            <w:tcW w:w="2535"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text"/>
              <w:rPr>
                <w:rFonts w:eastAsiaTheme="minorEastAsia" w:cs="Calibri"/>
                <w:b/>
                <w:bCs/>
                <w:color w:val="000000"/>
                <w:szCs w:val="22"/>
                <w:vertAlign w:val="superscript"/>
                <w:lang w:eastAsia="en-AU"/>
              </w:rPr>
            </w:pPr>
            <w:r w:rsidRPr="00E1323B">
              <w:rPr>
                <w:rFonts w:eastAsiaTheme="minorEastAsia"/>
                <w:b/>
                <w:bCs/>
                <w:sz w:val="19"/>
                <w:lang w:eastAsia="en-AU"/>
              </w:rPr>
              <w:t>Cash and cash equivalents at end of reporting period</w:t>
            </w:r>
            <w:r w:rsidRPr="00E1323B">
              <w:rPr>
                <w:rFonts w:eastAsiaTheme="minorEastAsia"/>
                <w:b/>
                <w:bCs/>
                <w:sz w:val="19"/>
                <w:vertAlign w:val="superscript"/>
                <w:lang w:eastAsia="en-AU"/>
              </w:rPr>
              <w:t xml:space="preserve"> </w:t>
            </w:r>
            <w:r w:rsidRPr="00E1323B">
              <w:rPr>
                <w:rFonts w:eastAsiaTheme="minorEastAsia" w:cs="Calibri"/>
                <w:b/>
                <w:bCs/>
                <w:color w:val="000000"/>
                <w:szCs w:val="22"/>
                <w:vertAlign w:val="superscript"/>
                <w:lang w:eastAsia="en-AU"/>
              </w:rPr>
              <w:t>(b)</w:t>
            </w:r>
          </w:p>
        </w:tc>
        <w:tc>
          <w:tcPr>
            <w:tcW w:w="870" w:type="dxa"/>
            <w:gridSpan w:val="3"/>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4 158.4</w:t>
            </w:r>
          </w:p>
        </w:tc>
        <w:tc>
          <w:tcPr>
            <w:tcW w:w="871"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4 459.2</w:t>
            </w:r>
          </w:p>
        </w:tc>
        <w:tc>
          <w:tcPr>
            <w:tcW w:w="871"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cs="Calibri"/>
                <w:b/>
                <w:bCs/>
                <w:sz w:val="19"/>
                <w:szCs w:val="22"/>
                <w:lang w:eastAsia="en-AU"/>
              </w:rPr>
            </w:pPr>
            <w:r w:rsidRPr="00E1323B">
              <w:rPr>
                <w:rFonts w:eastAsiaTheme="minorEastAsia"/>
                <w:b/>
                <w:bCs/>
                <w:sz w:val="19"/>
                <w:szCs w:val="22"/>
                <w:lang w:eastAsia="en-AU"/>
              </w:rPr>
              <w:t>3 622.3</w:t>
            </w:r>
          </w:p>
        </w:tc>
        <w:tc>
          <w:tcPr>
            <w:tcW w:w="871"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cs="Calibri"/>
                <w:b/>
                <w:bCs/>
                <w:sz w:val="19"/>
                <w:szCs w:val="22"/>
                <w:lang w:eastAsia="en-AU"/>
              </w:rPr>
            </w:pPr>
            <w:r w:rsidRPr="00E1323B">
              <w:rPr>
                <w:rFonts w:eastAsiaTheme="minorEastAsia"/>
                <w:b/>
                <w:bCs/>
                <w:sz w:val="19"/>
                <w:szCs w:val="22"/>
                <w:lang w:eastAsia="en-AU"/>
              </w:rPr>
              <w:t>3 852.6</w:t>
            </w:r>
          </w:p>
        </w:tc>
        <w:tc>
          <w:tcPr>
            <w:tcW w:w="871"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cs="Calibri"/>
                <w:b/>
                <w:bCs/>
                <w:sz w:val="19"/>
                <w:szCs w:val="22"/>
                <w:lang w:eastAsia="en-AU"/>
              </w:rPr>
            </w:pPr>
            <w:r w:rsidRPr="00E1323B">
              <w:rPr>
                <w:rFonts w:eastAsiaTheme="minorEastAsia"/>
                <w:b/>
                <w:bCs/>
                <w:sz w:val="19"/>
                <w:szCs w:val="22"/>
                <w:lang w:eastAsia="en-AU"/>
              </w:rPr>
              <w:t>4 055.5</w:t>
            </w:r>
          </w:p>
        </w:tc>
        <w:tc>
          <w:tcPr>
            <w:tcW w:w="871" w:type="dxa"/>
            <w:tcBorders>
              <w:top w:val="single" w:sz="6" w:space="0" w:color="auto"/>
              <w:left w:val="nil"/>
              <w:bottom w:val="single" w:sz="12" w:space="0" w:color="auto"/>
              <w:right w:val="nil"/>
            </w:tcBorders>
            <w:shd w:val="clear" w:color="auto" w:fill="auto"/>
          </w:tcPr>
          <w:p w:rsidR="00F60B5F" w:rsidRPr="00E1323B" w:rsidRDefault="00F60B5F" w:rsidP="00E1323B">
            <w:pPr>
              <w:pStyle w:val="TableofFigures"/>
              <w:rPr>
                <w:rFonts w:eastAsiaTheme="minorEastAsia" w:cs="Calibri"/>
                <w:b/>
                <w:bCs/>
                <w:szCs w:val="22"/>
                <w:lang w:eastAsia="en-AU"/>
              </w:rPr>
            </w:pPr>
            <w:r w:rsidRPr="00E1323B">
              <w:rPr>
                <w:rFonts w:eastAsiaTheme="minorEastAsia"/>
                <w:b/>
                <w:bCs/>
                <w:sz w:val="19"/>
                <w:szCs w:val="22"/>
                <w:lang w:eastAsia="en-AU"/>
              </w:rPr>
              <w:t>4 259.5</w:t>
            </w:r>
          </w:p>
        </w:tc>
      </w:tr>
      <w:tr w:rsidR="00F60B5F" w:rsidRPr="00E1323B" w:rsidTr="00E1323B">
        <w:tc>
          <w:tcPr>
            <w:tcW w:w="2535" w:type="dxa"/>
            <w:tcBorders>
              <w:top w:val="nil"/>
              <w:left w:val="nil"/>
              <w:bottom w:val="nil"/>
              <w:right w:val="nil"/>
            </w:tcBorders>
            <w:shd w:val="clear" w:color="auto" w:fill="auto"/>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FISCAL AGGREGATES</w:t>
            </w:r>
          </w:p>
        </w:tc>
        <w:tc>
          <w:tcPr>
            <w:tcW w:w="870" w:type="dxa"/>
            <w:gridSpan w:val="3"/>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szCs w:val="22"/>
                <w:lang w:eastAsia="en-AU"/>
              </w:rPr>
            </w:pP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szCs w:val="22"/>
                <w:lang w:eastAsia="en-AU"/>
              </w:rPr>
            </w:pP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b/>
                <w:bCs/>
                <w:sz w:val="19"/>
                <w:szCs w:val="22"/>
                <w:lang w:eastAsia="en-AU"/>
              </w:rPr>
            </w:pPr>
          </w:p>
        </w:tc>
        <w:tc>
          <w:tcPr>
            <w:tcW w:w="871" w:type="dxa"/>
            <w:tcBorders>
              <w:top w:val="nil"/>
              <w:left w:val="nil"/>
              <w:bottom w:val="nil"/>
              <w:right w:val="nil"/>
            </w:tcBorders>
            <w:shd w:val="clear" w:color="auto" w:fill="auto"/>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nil"/>
              <w:left w:val="nil"/>
              <w:bottom w:val="nil"/>
              <w:right w:val="nil"/>
            </w:tcBorders>
            <w:shd w:val="clear" w:color="auto" w:fill="auto"/>
          </w:tcPr>
          <w:p w:rsidR="00F60B5F" w:rsidRPr="00E1323B" w:rsidRDefault="00F60B5F" w:rsidP="00E1323B">
            <w:pPr>
              <w:pStyle w:val="TableofFigures"/>
              <w:rPr>
                <w:rFonts w:ascii="Arial" w:eastAsiaTheme="minorEastAsia" w:hAnsi="Arial" w:cs="Arial"/>
                <w:sz w:val="19"/>
                <w:szCs w:val="22"/>
                <w:lang w:eastAsia="en-AU"/>
              </w:rPr>
            </w:pPr>
          </w:p>
        </w:tc>
        <w:tc>
          <w:tcPr>
            <w:tcW w:w="871" w:type="dxa"/>
            <w:tcBorders>
              <w:top w:val="nil"/>
              <w:left w:val="nil"/>
              <w:bottom w:val="nil"/>
              <w:right w:val="nil"/>
            </w:tcBorders>
            <w:shd w:val="clear" w:color="auto" w:fill="auto"/>
          </w:tcPr>
          <w:p w:rsidR="00F60B5F" w:rsidRPr="00E1323B" w:rsidRDefault="00F60B5F" w:rsidP="00E1323B">
            <w:pPr>
              <w:pStyle w:val="TableofFigures"/>
              <w:rPr>
                <w:rFonts w:ascii="Arial" w:eastAsiaTheme="minorEastAsia" w:hAnsi="Arial" w:cs="Arial"/>
                <w:sz w:val="19"/>
                <w:szCs w:val="22"/>
                <w:lang w:eastAsia="en-AU"/>
              </w:rPr>
            </w:pPr>
          </w:p>
        </w:tc>
      </w:tr>
      <w:tr w:rsidR="00F60B5F" w:rsidRPr="00E1323B" w:rsidTr="00E1323B">
        <w:tc>
          <w:tcPr>
            <w:tcW w:w="2535" w:type="dxa"/>
            <w:tcBorders>
              <w:top w:val="nil"/>
              <w:left w:val="nil"/>
              <w:bottom w:val="nil"/>
              <w:right w:val="nil"/>
            </w:tcBorders>
            <w:shd w:val="clear" w:color="auto"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operating activities</w:t>
            </w:r>
          </w:p>
        </w:tc>
        <w:tc>
          <w:tcPr>
            <w:tcW w:w="870" w:type="dxa"/>
            <w:gridSpan w:val="3"/>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721.6</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746.4</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877.9</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 xml:space="preserve"> 998.1</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1 100.9</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22"/>
                <w:lang w:eastAsia="en-AU"/>
              </w:rPr>
            </w:pPr>
            <w:r w:rsidRPr="00E1323B">
              <w:rPr>
                <w:rFonts w:eastAsiaTheme="minorEastAsia"/>
                <w:sz w:val="19"/>
                <w:szCs w:val="22"/>
                <w:lang w:eastAsia="en-AU"/>
              </w:rPr>
              <w:t>1 135.8</w:t>
            </w:r>
          </w:p>
        </w:tc>
      </w:tr>
      <w:tr w:rsidR="00F60B5F" w:rsidRPr="00E1323B" w:rsidTr="00E1323B">
        <w:tc>
          <w:tcPr>
            <w:tcW w:w="2535" w:type="dxa"/>
            <w:tcBorders>
              <w:top w:val="nil"/>
              <w:left w:val="nil"/>
              <w:bottom w:val="nil"/>
              <w:right w:val="nil"/>
            </w:tcBorders>
            <w:shd w:val="clear" w:color="auto" w:fill="auto"/>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paid</w:t>
            </w:r>
          </w:p>
        </w:tc>
        <w:tc>
          <w:tcPr>
            <w:tcW w:w="870" w:type="dxa"/>
            <w:gridSpan w:val="3"/>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( 440.6)</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( 293.9)</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( 309.8)</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( 311.1)</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( 382.1)</w:t>
            </w:r>
          </w:p>
        </w:tc>
        <w:tc>
          <w:tcPr>
            <w:tcW w:w="871" w:type="dxa"/>
            <w:tcBorders>
              <w:top w:val="nil"/>
              <w:left w:val="nil"/>
              <w:bottom w:val="nil"/>
              <w:right w:val="nil"/>
            </w:tcBorders>
            <w:shd w:val="clear" w:color="auto" w:fill="auto"/>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( 400.4)</w:t>
            </w:r>
          </w:p>
        </w:tc>
      </w:tr>
      <w:tr w:rsidR="00F60B5F" w:rsidRPr="00E1323B" w:rsidTr="00E1323B">
        <w:tc>
          <w:tcPr>
            <w:tcW w:w="2535"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cash flows from investments in non</w:t>
            </w:r>
            <w:r>
              <w:rPr>
                <w:rFonts w:eastAsiaTheme="minorEastAsia"/>
                <w:sz w:val="19"/>
                <w:lang w:eastAsia="en-AU"/>
              </w:rPr>
              <w:noBreakHyphen/>
            </w:r>
            <w:r w:rsidRPr="00E1323B">
              <w:rPr>
                <w:rFonts w:eastAsiaTheme="minorEastAsia"/>
                <w:sz w:val="19"/>
                <w:lang w:eastAsia="en-AU"/>
              </w:rPr>
              <w:t>financial assets</w:t>
            </w:r>
          </w:p>
        </w:tc>
        <w:tc>
          <w:tcPr>
            <w:tcW w:w="870"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( 72.5)</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( 85.8)</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( 76.1)</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( 64.6)</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( 47.5)</w:t>
            </w:r>
          </w:p>
        </w:tc>
        <w:tc>
          <w:tcPr>
            <w:tcW w:w="871" w:type="dxa"/>
            <w:tcBorders>
              <w:top w:val="nil"/>
              <w:left w:val="nil"/>
              <w:bottom w:val="single" w:sz="6" w:space="0" w:color="auto"/>
              <w:right w:val="nil"/>
            </w:tcBorders>
          </w:tcPr>
          <w:p w:rsidR="00F60B5F" w:rsidRPr="00E1323B" w:rsidRDefault="00F60B5F" w:rsidP="00E1323B">
            <w:pPr>
              <w:pStyle w:val="TableofFigures"/>
              <w:rPr>
                <w:rFonts w:eastAsiaTheme="minorEastAsia" w:cs="Calibri"/>
                <w:szCs w:val="22"/>
                <w:lang w:eastAsia="en-AU"/>
              </w:rPr>
            </w:pPr>
            <w:r w:rsidRPr="00E1323B">
              <w:rPr>
                <w:rFonts w:eastAsiaTheme="minorEastAsia"/>
                <w:sz w:val="19"/>
                <w:szCs w:val="22"/>
                <w:lang w:eastAsia="en-AU"/>
              </w:rPr>
              <w:t>( 57.2)</w:t>
            </w:r>
          </w:p>
        </w:tc>
      </w:tr>
      <w:tr w:rsidR="00F60B5F" w:rsidRPr="00E1323B" w:rsidTr="00E1323B">
        <w:tc>
          <w:tcPr>
            <w:tcW w:w="253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Cash surplus/(deficit)</w:t>
            </w:r>
          </w:p>
        </w:tc>
        <w:tc>
          <w:tcPr>
            <w:tcW w:w="870" w:type="dxa"/>
            <w:gridSpan w:val="3"/>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208.5</w:t>
            </w:r>
          </w:p>
        </w:tc>
        <w:tc>
          <w:tcPr>
            <w:tcW w:w="87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366.7</w:t>
            </w:r>
          </w:p>
        </w:tc>
        <w:tc>
          <w:tcPr>
            <w:tcW w:w="87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492.0</w:t>
            </w:r>
          </w:p>
        </w:tc>
        <w:tc>
          <w:tcPr>
            <w:tcW w:w="87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622.4</w:t>
            </w:r>
          </w:p>
        </w:tc>
        <w:tc>
          <w:tcPr>
            <w:tcW w:w="87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671.3</w:t>
            </w:r>
          </w:p>
        </w:tc>
        <w:tc>
          <w:tcPr>
            <w:tcW w:w="87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22"/>
                <w:lang w:eastAsia="en-AU"/>
              </w:rPr>
            </w:pPr>
            <w:r w:rsidRPr="00E1323B">
              <w:rPr>
                <w:rFonts w:eastAsiaTheme="minorEastAsia"/>
                <w:b/>
                <w:bCs/>
                <w:sz w:val="19"/>
                <w:szCs w:val="22"/>
                <w:lang w:eastAsia="en-AU"/>
              </w:rPr>
              <w:t xml:space="preserve"> 678.2</w:t>
            </w:r>
          </w:p>
        </w:tc>
      </w:tr>
    </w:tbl>
    <w:p w:rsidR="00F60B5F" w:rsidRDefault="00F60B5F" w:rsidP="00596C71">
      <w:pPr>
        <w:pStyle w:val="Source"/>
      </w:pPr>
      <w:r w:rsidRPr="00F27D04">
        <w:t>Source: Department of Treasury and Finance</w:t>
      </w:r>
    </w:p>
    <w:p w:rsidR="00F60B5F" w:rsidRPr="00F27D04" w:rsidRDefault="00F60B5F" w:rsidP="00B465B1">
      <w:pPr>
        <w:pStyle w:val="Notes"/>
      </w:pPr>
      <w:r w:rsidRPr="00F27D04">
        <w:t>Note:</w:t>
      </w:r>
    </w:p>
    <w:p w:rsidR="00F60B5F" w:rsidRPr="00B56B1C" w:rsidRDefault="00F60B5F" w:rsidP="00B465B1">
      <w:pPr>
        <w:pStyle w:val="Notes"/>
      </w:pPr>
      <w:r w:rsidRPr="00F27D04">
        <w:t xml:space="preserve">(a) </w:t>
      </w:r>
      <w:r w:rsidRPr="00F27D04">
        <w:tab/>
      </w:r>
      <w:r>
        <w:t>These items are inclusive of goods and services tax</w:t>
      </w:r>
      <w:r w:rsidRPr="00B56B1C">
        <w:t>.</w:t>
      </w:r>
    </w:p>
    <w:p w:rsidR="00F60B5F" w:rsidRPr="00F27D04" w:rsidRDefault="00F60B5F" w:rsidP="00B465B1">
      <w:pPr>
        <w:pStyle w:val="Notes"/>
      </w:pPr>
    </w:p>
    <w:p w:rsidR="00F60B5F" w:rsidRPr="00F27D04" w:rsidRDefault="00F60B5F" w:rsidP="00250CAA"/>
    <w:p w:rsidR="00F60B5F" w:rsidRPr="00F27D04" w:rsidRDefault="00F60B5F" w:rsidP="00250CAA"/>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6.17:</w:t>
      </w:r>
      <w:r w:rsidRPr="00F27D04">
        <w:tab/>
        <w:t>Public financial corporations sector statement of changes in equity</w:t>
      </w:r>
    </w:p>
    <w:p w:rsidR="00F60B5F"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5057"/>
        <w:gridCol w:w="1530"/>
        <w:gridCol w:w="1173"/>
      </w:tblGrid>
      <w:tr w:rsidR="00F60B5F" w:rsidRPr="00E1323B" w:rsidTr="00E1323B">
        <w:tc>
          <w:tcPr>
            <w:tcW w:w="5057" w:type="dxa"/>
            <w:tcBorders>
              <w:top w:val="single" w:sz="6" w:space="0" w:color="000000"/>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1530"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Accumulated surplus/(deficit)</w:t>
            </w:r>
          </w:p>
        </w:tc>
        <w:tc>
          <w:tcPr>
            <w:tcW w:w="1173" w:type="dxa"/>
            <w:tcBorders>
              <w:top w:val="single" w:sz="6" w:space="0" w:color="000000"/>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Contribution </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by owners</w:t>
            </w:r>
          </w:p>
        </w:tc>
      </w:tr>
      <w:tr w:rsidR="00F60B5F" w:rsidRPr="00E1323B" w:rsidTr="00E1323B">
        <w:tc>
          <w:tcPr>
            <w:tcW w:w="5057"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2012</w:t>
            </w:r>
            <w:r>
              <w:rPr>
                <w:rFonts w:eastAsiaTheme="minorEastAsia"/>
                <w:b/>
                <w:bCs/>
                <w:sz w:val="19"/>
                <w:lang w:eastAsia="en-AU"/>
              </w:rPr>
              <w:noBreakHyphen/>
            </w:r>
            <w:r w:rsidRPr="00E1323B">
              <w:rPr>
                <w:rFonts w:eastAsiaTheme="minorEastAsia"/>
                <w:b/>
                <w:bCs/>
                <w:sz w:val="19"/>
                <w:lang w:eastAsia="en-AU"/>
              </w:rPr>
              <w:t>13 Actual</w:t>
            </w:r>
          </w:p>
        </w:tc>
        <w:tc>
          <w:tcPr>
            <w:tcW w:w="153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1173"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Balance at 1 July 2012</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(4 675.8)</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254.9</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result</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3 259.7</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comprehensive income for the year</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91.3</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paid</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( 440.6)</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Transactions with owners in their capacity as owners</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1173"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( 3.2)</w:t>
            </w:r>
          </w:p>
        </w:tc>
      </w:tr>
      <w:tr w:rsidR="00F60B5F" w:rsidRPr="00E1323B" w:rsidTr="00E1323B">
        <w:tc>
          <w:tcPr>
            <w:tcW w:w="50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equity  at end of period</w:t>
            </w:r>
          </w:p>
        </w:tc>
        <w:tc>
          <w:tcPr>
            <w:tcW w:w="153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(1 765.4)</w:t>
            </w:r>
          </w:p>
        </w:tc>
        <w:tc>
          <w:tcPr>
            <w:tcW w:w="117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251.8</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2013</w:t>
            </w:r>
            <w:r>
              <w:rPr>
                <w:rFonts w:eastAsiaTheme="minorEastAsia"/>
                <w:b/>
                <w:bCs/>
                <w:sz w:val="19"/>
                <w:lang w:eastAsia="en-AU"/>
              </w:rPr>
              <w:noBreakHyphen/>
            </w:r>
            <w:r w:rsidRPr="00E1323B">
              <w:rPr>
                <w:rFonts w:eastAsiaTheme="minorEastAsia"/>
                <w:b/>
                <w:bCs/>
                <w:sz w:val="19"/>
                <w:lang w:eastAsia="en-AU"/>
              </w:rPr>
              <w:t>14 Budget</w:t>
            </w:r>
          </w:p>
        </w:tc>
        <w:tc>
          <w:tcPr>
            <w:tcW w:w="153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1173"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Balance at 1 July 2013</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(1 765.4)</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251.8</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result</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396.9</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comprehensive income for the year</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( 7.0)</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paid</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( 293.9)</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Transactions with owners in their capacity as owners</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21.3</w:t>
            </w:r>
          </w:p>
        </w:tc>
      </w:tr>
      <w:tr w:rsidR="00F60B5F" w:rsidRPr="00E1323B" w:rsidTr="00E1323B">
        <w:tc>
          <w:tcPr>
            <w:tcW w:w="50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equity at end of period</w:t>
            </w:r>
          </w:p>
        </w:tc>
        <w:tc>
          <w:tcPr>
            <w:tcW w:w="153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(1 669.5)</w:t>
            </w:r>
          </w:p>
        </w:tc>
        <w:tc>
          <w:tcPr>
            <w:tcW w:w="117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273.1</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2013</w:t>
            </w:r>
            <w:r>
              <w:rPr>
                <w:rFonts w:eastAsiaTheme="minorEastAsia"/>
                <w:b/>
                <w:bCs/>
                <w:sz w:val="19"/>
                <w:lang w:eastAsia="en-AU"/>
              </w:rPr>
              <w:noBreakHyphen/>
            </w:r>
            <w:r w:rsidRPr="00E1323B">
              <w:rPr>
                <w:rFonts w:eastAsiaTheme="minorEastAsia"/>
                <w:b/>
                <w:bCs/>
                <w:sz w:val="19"/>
                <w:lang w:eastAsia="en-AU"/>
              </w:rPr>
              <w:t>14 Revised</w:t>
            </w:r>
          </w:p>
        </w:tc>
        <w:tc>
          <w:tcPr>
            <w:tcW w:w="153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1173"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Balance at 1 July 2013</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(1 765.4)</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251.8</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result</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616.2</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comprehensive income for the year</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492.8</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paid</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( 309.8)</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Transactions with owners in their capacity as owners</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21.3</w:t>
            </w:r>
          </w:p>
        </w:tc>
      </w:tr>
      <w:tr w:rsidR="00F60B5F" w:rsidRPr="00E1323B" w:rsidTr="00E1323B">
        <w:tc>
          <w:tcPr>
            <w:tcW w:w="50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equity at end of period</w:t>
            </w:r>
          </w:p>
        </w:tc>
        <w:tc>
          <w:tcPr>
            <w:tcW w:w="153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( 966.3)</w:t>
            </w:r>
          </w:p>
        </w:tc>
        <w:tc>
          <w:tcPr>
            <w:tcW w:w="117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273.1</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2014</w:t>
            </w:r>
            <w:r>
              <w:rPr>
                <w:rFonts w:eastAsiaTheme="minorEastAsia"/>
                <w:b/>
                <w:bCs/>
                <w:sz w:val="19"/>
                <w:lang w:eastAsia="en-AU"/>
              </w:rPr>
              <w:noBreakHyphen/>
            </w:r>
            <w:r w:rsidRPr="00E1323B">
              <w:rPr>
                <w:rFonts w:eastAsiaTheme="minorEastAsia"/>
                <w:b/>
                <w:bCs/>
                <w:sz w:val="19"/>
                <w:lang w:eastAsia="en-AU"/>
              </w:rPr>
              <w:t>15 Estimate</w:t>
            </w:r>
          </w:p>
        </w:tc>
        <w:tc>
          <w:tcPr>
            <w:tcW w:w="153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1173"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Balance at 1 July 2014</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( 966.3)</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273.1</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result</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546.4</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comprehensive income for the year</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( 8.8)</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paid</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( 311.1)</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Transactions with owners in their capacity as owners</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16.6</w:t>
            </w:r>
          </w:p>
        </w:tc>
      </w:tr>
      <w:tr w:rsidR="00F60B5F" w:rsidRPr="00E1323B" w:rsidTr="00E1323B">
        <w:tc>
          <w:tcPr>
            <w:tcW w:w="50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equity at end of period</w:t>
            </w:r>
          </w:p>
        </w:tc>
        <w:tc>
          <w:tcPr>
            <w:tcW w:w="153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( 739.9)</w:t>
            </w:r>
          </w:p>
        </w:tc>
        <w:tc>
          <w:tcPr>
            <w:tcW w:w="117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289.7</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2015</w:t>
            </w:r>
            <w:r>
              <w:rPr>
                <w:rFonts w:eastAsiaTheme="minorEastAsia"/>
                <w:b/>
                <w:bCs/>
                <w:sz w:val="19"/>
                <w:lang w:eastAsia="en-AU"/>
              </w:rPr>
              <w:noBreakHyphen/>
            </w:r>
            <w:r w:rsidRPr="00E1323B">
              <w:rPr>
                <w:rFonts w:eastAsiaTheme="minorEastAsia"/>
                <w:b/>
                <w:bCs/>
                <w:sz w:val="19"/>
                <w:lang w:eastAsia="en-AU"/>
              </w:rPr>
              <w:t>16 Estimate</w:t>
            </w:r>
          </w:p>
        </w:tc>
        <w:tc>
          <w:tcPr>
            <w:tcW w:w="153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1173"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Balance at 1 July 2015</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( 739.9)</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289.7</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result</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620.0</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comprehensive income for the year</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( 9.2)</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paid</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( 382.1)</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Transactions with owners in their capacity as owners</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1173"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( 348.1)</w:t>
            </w:r>
          </w:p>
        </w:tc>
      </w:tr>
      <w:tr w:rsidR="00F60B5F" w:rsidRPr="00E1323B" w:rsidTr="00E1323B">
        <w:tc>
          <w:tcPr>
            <w:tcW w:w="50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equity at end of period</w:t>
            </w:r>
          </w:p>
        </w:tc>
        <w:tc>
          <w:tcPr>
            <w:tcW w:w="153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( 511.3)</w:t>
            </w:r>
          </w:p>
        </w:tc>
        <w:tc>
          <w:tcPr>
            <w:tcW w:w="117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( 58.4)</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2016</w:t>
            </w:r>
            <w:r>
              <w:rPr>
                <w:rFonts w:eastAsiaTheme="minorEastAsia"/>
                <w:b/>
                <w:bCs/>
                <w:sz w:val="19"/>
                <w:lang w:eastAsia="en-AU"/>
              </w:rPr>
              <w:noBreakHyphen/>
            </w:r>
            <w:r w:rsidRPr="00E1323B">
              <w:rPr>
                <w:rFonts w:eastAsiaTheme="minorEastAsia"/>
                <w:b/>
                <w:bCs/>
                <w:sz w:val="19"/>
                <w:lang w:eastAsia="en-AU"/>
              </w:rPr>
              <w:t>17 Estimate</w:t>
            </w:r>
          </w:p>
        </w:tc>
        <w:tc>
          <w:tcPr>
            <w:tcW w:w="153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1173"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Balance at 1 July 2016</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( 511.3)</w:t>
            </w:r>
          </w:p>
        </w:tc>
        <w:tc>
          <w:tcPr>
            <w:tcW w:w="1173"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( 58.4)</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Net result</w:t>
            </w:r>
          </w:p>
        </w:tc>
        <w:tc>
          <w:tcPr>
            <w:tcW w:w="153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627.2</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Other comprehensive income for the year</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( 8.1)</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Dividends paid</w:t>
            </w:r>
          </w:p>
        </w:tc>
        <w:tc>
          <w:tcPr>
            <w:tcW w:w="153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( 400.4)</w:t>
            </w:r>
          </w:p>
        </w:tc>
        <w:tc>
          <w:tcPr>
            <w:tcW w:w="1173"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r>
      <w:tr w:rsidR="00F60B5F" w:rsidRPr="00E1323B" w:rsidTr="00E1323B">
        <w:tc>
          <w:tcPr>
            <w:tcW w:w="5057" w:type="dxa"/>
            <w:tcBorders>
              <w:top w:val="nil"/>
              <w:left w:val="nil"/>
              <w:bottom w:val="single" w:sz="6" w:space="0" w:color="auto"/>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Transactions with owners in their capacity as owners</w:t>
            </w:r>
          </w:p>
        </w:tc>
        <w:tc>
          <w:tcPr>
            <w:tcW w:w="153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1173"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16.6</w:t>
            </w:r>
          </w:p>
        </w:tc>
      </w:tr>
      <w:tr w:rsidR="00F60B5F" w:rsidRPr="00E1323B" w:rsidTr="00E1323B">
        <w:tc>
          <w:tcPr>
            <w:tcW w:w="505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lang w:eastAsia="en-AU"/>
              </w:rPr>
            </w:pPr>
            <w:r w:rsidRPr="00E1323B">
              <w:rPr>
                <w:rFonts w:eastAsiaTheme="minorEastAsia"/>
                <w:b/>
                <w:bCs/>
                <w:sz w:val="19"/>
                <w:lang w:eastAsia="en-AU"/>
              </w:rPr>
              <w:t>Total equity at end of period</w:t>
            </w:r>
          </w:p>
        </w:tc>
        <w:tc>
          <w:tcPr>
            <w:tcW w:w="1530"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( 292.6)</w:t>
            </w:r>
          </w:p>
        </w:tc>
        <w:tc>
          <w:tcPr>
            <w:tcW w:w="1173"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( 41.8)</w:t>
            </w:r>
          </w:p>
        </w:tc>
      </w:tr>
    </w:tbl>
    <w:p w:rsidR="00F60B5F" w:rsidRDefault="00F60B5F" w:rsidP="00596C71">
      <w:pPr>
        <w:pStyle w:val="Source"/>
      </w:pPr>
      <w:r w:rsidRPr="00F27D04">
        <w:t>Source: Department of Treasury and Finance</w:t>
      </w:r>
    </w:p>
    <w:p w:rsidR="00F60B5F" w:rsidRPr="00F27D04" w:rsidRDefault="00F60B5F" w:rsidP="00AA7E47">
      <w:pPr>
        <w:pStyle w:val="Tableheading"/>
        <w:spacing w:after="80"/>
      </w:pPr>
    </w:p>
    <w:p w:rsidR="00F60B5F" w:rsidRDefault="00F60B5F" w:rsidP="00E1323B">
      <w:pPr>
        <w:pStyle w:val="million"/>
        <w:rPr>
          <w:rFonts w:ascii="Times New Roman" w:hAnsi="Times New Roman"/>
          <w:sz w:val="20"/>
          <w:lang w:eastAsia="en-AU"/>
        </w:rPr>
      </w:pPr>
    </w:p>
    <w:tbl>
      <w:tblPr>
        <w:tblW w:w="7217" w:type="dxa"/>
        <w:tblInd w:w="28" w:type="dxa"/>
        <w:tblLayout w:type="fixed"/>
        <w:tblCellMar>
          <w:left w:w="45" w:type="dxa"/>
          <w:right w:w="45" w:type="dxa"/>
        </w:tblCellMar>
        <w:tblLook w:val="0000" w:firstRow="0" w:lastRow="0" w:firstColumn="0" w:lastColumn="0" w:noHBand="0" w:noVBand="0"/>
      </w:tblPr>
      <w:tblGrid>
        <w:gridCol w:w="2897"/>
        <w:gridCol w:w="2070"/>
        <w:gridCol w:w="2250"/>
      </w:tblGrid>
      <w:tr w:rsidR="00F60B5F" w:rsidRPr="00E1323B" w:rsidTr="00E1323B">
        <w:tc>
          <w:tcPr>
            <w:tcW w:w="2897" w:type="dxa"/>
            <w:tcBorders>
              <w:top w:val="single" w:sz="6" w:space="0" w:color="000000"/>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Land, buildings, infrastructure,</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plant and equipment</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revaluation surplus</w:t>
            </w:r>
          </w:p>
        </w:tc>
        <w:tc>
          <w:tcPr>
            <w:tcW w:w="2070"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Other</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reserves</w:t>
            </w:r>
          </w:p>
        </w:tc>
        <w:tc>
          <w:tcPr>
            <w:tcW w:w="2250" w:type="dxa"/>
            <w:tcBorders>
              <w:top w:val="single" w:sz="6" w:space="0" w:color="000000"/>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Total</w:t>
            </w:r>
          </w:p>
        </w:tc>
      </w:tr>
      <w:tr w:rsidR="00F60B5F" w:rsidRPr="00E1323B" w:rsidTr="00E1323B">
        <w:tc>
          <w:tcPr>
            <w:tcW w:w="2897"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07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25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16.0</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737.2</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(3 667.7)</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3 259.7</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( 1.0)</w:t>
            </w:r>
          </w:p>
        </w:tc>
        <w:tc>
          <w:tcPr>
            <w:tcW w:w="207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( 91.3)</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( 1.0)</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( 440.6)</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( 3.2)</w:t>
            </w:r>
          </w:p>
        </w:tc>
      </w:tr>
      <w:tr w:rsidR="00F60B5F" w:rsidRPr="00E1323B" w:rsidTr="00E1323B">
        <w:tc>
          <w:tcPr>
            <w:tcW w:w="289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15.0</w:t>
            </w:r>
          </w:p>
        </w:tc>
        <w:tc>
          <w:tcPr>
            <w:tcW w:w="207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645.9</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( 852.8)</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07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15.0</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645.9</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( 852.8)</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396.9</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7.0</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color w:val="000000"/>
                <w:lang w:eastAsia="en-AU"/>
              </w:rPr>
            </w:pPr>
            <w:r>
              <w:rPr>
                <w:rFonts w:eastAsiaTheme="minorEastAsia"/>
                <w:sz w:val="19"/>
                <w:lang w:eastAsia="en-AU"/>
              </w:rPr>
              <w:t>..</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( 293.9)</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21.3</w:t>
            </w:r>
          </w:p>
        </w:tc>
      </w:tr>
      <w:tr w:rsidR="00F60B5F" w:rsidRPr="00E1323B" w:rsidTr="00E1323B">
        <w:tc>
          <w:tcPr>
            <w:tcW w:w="289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15.0</w:t>
            </w:r>
          </w:p>
        </w:tc>
        <w:tc>
          <w:tcPr>
            <w:tcW w:w="207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652.9</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( 728.6)</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07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15.0</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645.9</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( 852.8)</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616.2</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( 12.9)</w:t>
            </w:r>
          </w:p>
        </w:tc>
        <w:tc>
          <w:tcPr>
            <w:tcW w:w="207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( 480.3)</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( 0.4)</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( 309.8)</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21.3</w:t>
            </w:r>
          </w:p>
        </w:tc>
      </w:tr>
      <w:tr w:rsidR="00F60B5F" w:rsidRPr="00E1323B" w:rsidTr="00E1323B">
        <w:tc>
          <w:tcPr>
            <w:tcW w:w="289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2.1</w:t>
            </w:r>
          </w:p>
        </w:tc>
        <w:tc>
          <w:tcPr>
            <w:tcW w:w="207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165.6</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( 525.6)</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07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2.1</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165.6</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( 525.6)</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546.4</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7.6</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( 1.2)</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( 311.1)</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16.6</w:t>
            </w:r>
          </w:p>
        </w:tc>
      </w:tr>
      <w:tr w:rsidR="00F60B5F" w:rsidRPr="00E1323B" w:rsidTr="00E1323B">
        <w:tc>
          <w:tcPr>
            <w:tcW w:w="289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2.1</w:t>
            </w:r>
          </w:p>
        </w:tc>
        <w:tc>
          <w:tcPr>
            <w:tcW w:w="207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173.3</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( 274.9)</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07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2.1</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173.3</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( 274.9)</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620.0</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8.2</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( 1.0)</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( 382.1)</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( 348.1)</w:t>
            </w:r>
          </w:p>
        </w:tc>
      </w:tr>
      <w:tr w:rsidR="00F60B5F" w:rsidRPr="00E1323B" w:rsidTr="00E1323B">
        <w:tc>
          <w:tcPr>
            <w:tcW w:w="2897"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2.1</w:t>
            </w:r>
          </w:p>
        </w:tc>
        <w:tc>
          <w:tcPr>
            <w:tcW w:w="207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181.5</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( 386.1)</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07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2.1</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181.5</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( 386.1)</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627.2</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7.1</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( 0.9)</w:t>
            </w:r>
          </w:p>
        </w:tc>
      </w:tr>
      <w:tr w:rsidR="00F60B5F" w:rsidRPr="00E1323B" w:rsidTr="00E1323B">
        <w:tc>
          <w:tcPr>
            <w:tcW w:w="2897"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sz w:val="19"/>
                <w:lang w:eastAsia="en-AU"/>
              </w:rPr>
              <w:t>( 400.4)</w:t>
            </w:r>
          </w:p>
        </w:tc>
      </w:tr>
      <w:tr w:rsidR="00F60B5F" w:rsidRPr="00E1323B" w:rsidTr="00E1323B">
        <w:tc>
          <w:tcPr>
            <w:tcW w:w="2897"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07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w:t>
            </w:r>
          </w:p>
        </w:tc>
        <w:tc>
          <w:tcPr>
            <w:tcW w:w="2250"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16.6</w:t>
            </w:r>
          </w:p>
        </w:tc>
      </w:tr>
      <w:tr w:rsidR="00F60B5F" w:rsidRPr="00E1323B" w:rsidTr="00E1323B">
        <w:tc>
          <w:tcPr>
            <w:tcW w:w="289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2.1</w:t>
            </w:r>
          </w:p>
        </w:tc>
        <w:tc>
          <w:tcPr>
            <w:tcW w:w="2070"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lang w:eastAsia="en-AU"/>
              </w:rPr>
            </w:pPr>
            <w:r w:rsidRPr="00E1323B">
              <w:rPr>
                <w:rFonts w:eastAsiaTheme="minorEastAsia"/>
                <w:b/>
                <w:bCs/>
                <w:sz w:val="19"/>
                <w:lang w:eastAsia="en-AU"/>
              </w:rPr>
              <w:t xml:space="preserve"> 188.6</w:t>
            </w:r>
          </w:p>
        </w:tc>
        <w:tc>
          <w:tcPr>
            <w:tcW w:w="2250"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lang w:eastAsia="en-AU"/>
              </w:rPr>
            </w:pPr>
            <w:r w:rsidRPr="00E1323B">
              <w:rPr>
                <w:rFonts w:eastAsiaTheme="minorEastAsia"/>
                <w:b/>
                <w:bCs/>
                <w:sz w:val="19"/>
                <w:lang w:eastAsia="en-AU"/>
              </w:rPr>
              <w:t>( 143.7)</w:t>
            </w:r>
          </w:p>
        </w:tc>
      </w:tr>
    </w:tbl>
    <w:p w:rsidR="00F60B5F" w:rsidRPr="00F27D04" w:rsidRDefault="00F60B5F" w:rsidP="006E34F9"/>
    <w:p w:rsidR="00F60B5F" w:rsidRPr="00F27D04" w:rsidRDefault="00F60B5F" w:rsidP="006E34F9">
      <w:pPr>
        <w:pStyle w:val="Tableheading"/>
      </w:pPr>
      <w:r w:rsidRPr="00F27D04">
        <w:t>Table 6.18:</w:t>
      </w:r>
      <w:r w:rsidRPr="00F27D04">
        <w:tab/>
        <w:t>Derivation of public financial corporations sector GFS cash surplus/(deficit)</w:t>
      </w:r>
    </w:p>
    <w:p w:rsidR="00F60B5F" w:rsidRPr="00E1323B" w:rsidRDefault="00F60B5F" w:rsidP="00E1323B">
      <w:pPr>
        <w:pStyle w:val="million"/>
      </w:pPr>
      <w:r w:rsidRPr="00F27D04">
        <w:t>($</w:t>
      </w:r>
      <w:r>
        <w:t> million</w:t>
      </w:r>
      <w:r w:rsidRPr="00F27D04">
        <w:t>)</w:t>
      </w:r>
    </w:p>
    <w:tbl>
      <w:tblPr>
        <w:tblW w:w="7760" w:type="dxa"/>
        <w:tblInd w:w="28" w:type="dxa"/>
        <w:tblLayout w:type="fixed"/>
        <w:tblCellMar>
          <w:left w:w="43" w:type="dxa"/>
          <w:right w:w="43" w:type="dxa"/>
        </w:tblCellMar>
        <w:tblLook w:val="0000" w:firstRow="0" w:lastRow="0" w:firstColumn="0" w:lastColumn="0" w:noHBand="0" w:noVBand="0"/>
      </w:tblPr>
      <w:tblGrid>
        <w:gridCol w:w="2408"/>
        <w:gridCol w:w="892"/>
        <w:gridCol w:w="892"/>
        <w:gridCol w:w="892"/>
        <w:gridCol w:w="892"/>
        <w:gridCol w:w="892"/>
        <w:gridCol w:w="892"/>
      </w:tblGrid>
      <w:tr w:rsidR="00F60B5F" w:rsidRPr="00596C71" w:rsidTr="00E1323B">
        <w:tc>
          <w:tcPr>
            <w:tcW w:w="2408" w:type="dxa"/>
            <w:tcBorders>
              <w:top w:val="single" w:sz="6" w:space="0" w:color="000000"/>
              <w:left w:val="single" w:sz="6" w:space="0" w:color="000000"/>
              <w:bottom w:val="nil"/>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 xml:space="preserve">  </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2012</w:t>
            </w:r>
            <w:r>
              <w:rPr>
                <w:rFonts w:eastAsiaTheme="minorEastAsia"/>
                <w:color w:val="FFFFFF"/>
                <w:sz w:val="19"/>
                <w:lang w:eastAsia="en-AU"/>
              </w:rPr>
              <w:noBreakHyphen/>
            </w:r>
            <w:r w:rsidRPr="00596C71">
              <w:rPr>
                <w:rFonts w:eastAsiaTheme="minorEastAsia"/>
                <w:color w:val="FFFFFF"/>
                <w:sz w:val="19"/>
                <w:lang w:eastAsia="en-AU"/>
              </w:rPr>
              <w:t>13</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2013</w:t>
            </w:r>
            <w:r>
              <w:rPr>
                <w:rFonts w:eastAsiaTheme="minorEastAsia"/>
                <w:color w:val="FFFFFF"/>
                <w:sz w:val="19"/>
                <w:lang w:eastAsia="en-AU"/>
              </w:rPr>
              <w:noBreakHyphen/>
            </w:r>
            <w:r w:rsidRPr="00596C71">
              <w:rPr>
                <w:rFonts w:eastAsiaTheme="minorEastAsia"/>
                <w:color w:val="FFFFFF"/>
                <w:sz w:val="19"/>
                <w:lang w:eastAsia="en-AU"/>
              </w:rPr>
              <w:t>14</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2013</w:t>
            </w:r>
            <w:r>
              <w:rPr>
                <w:rFonts w:eastAsiaTheme="minorEastAsia"/>
                <w:color w:val="FFFFFF"/>
                <w:sz w:val="19"/>
                <w:lang w:eastAsia="en-AU"/>
              </w:rPr>
              <w:noBreakHyphen/>
            </w:r>
            <w:r w:rsidRPr="00596C71">
              <w:rPr>
                <w:rFonts w:eastAsiaTheme="minorEastAsia"/>
                <w:color w:val="FFFFFF"/>
                <w:sz w:val="19"/>
                <w:lang w:eastAsia="en-AU"/>
              </w:rPr>
              <w:t>14</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2014</w:t>
            </w:r>
            <w:r>
              <w:rPr>
                <w:rFonts w:eastAsiaTheme="minorEastAsia"/>
                <w:color w:val="FFFFFF"/>
                <w:sz w:val="19"/>
                <w:lang w:eastAsia="en-AU"/>
              </w:rPr>
              <w:noBreakHyphen/>
            </w:r>
            <w:r w:rsidRPr="00596C71">
              <w:rPr>
                <w:rFonts w:eastAsiaTheme="minorEastAsia"/>
                <w:color w:val="FFFFFF"/>
                <w:sz w:val="19"/>
                <w:lang w:eastAsia="en-AU"/>
              </w:rPr>
              <w:t>15</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2015</w:t>
            </w:r>
            <w:r>
              <w:rPr>
                <w:rFonts w:eastAsiaTheme="minorEastAsia"/>
                <w:color w:val="FFFFFF"/>
                <w:sz w:val="19"/>
                <w:lang w:eastAsia="en-AU"/>
              </w:rPr>
              <w:noBreakHyphen/>
            </w:r>
            <w:r w:rsidRPr="00596C71">
              <w:rPr>
                <w:rFonts w:eastAsiaTheme="minorEastAsia"/>
                <w:color w:val="FFFFFF"/>
                <w:sz w:val="19"/>
                <w:lang w:eastAsia="en-AU"/>
              </w:rPr>
              <w:t>16</w:t>
            </w:r>
          </w:p>
        </w:tc>
        <w:tc>
          <w:tcPr>
            <w:tcW w:w="892" w:type="dxa"/>
            <w:tcBorders>
              <w:top w:val="single" w:sz="6" w:space="0" w:color="000000"/>
              <w:left w:val="nil"/>
              <w:bottom w:val="nil"/>
              <w:right w:val="single" w:sz="6" w:space="0" w:color="000000"/>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2016</w:t>
            </w:r>
            <w:r>
              <w:rPr>
                <w:rFonts w:eastAsiaTheme="minorEastAsia"/>
                <w:color w:val="FFFFFF"/>
                <w:sz w:val="19"/>
                <w:lang w:eastAsia="en-AU"/>
              </w:rPr>
              <w:noBreakHyphen/>
            </w:r>
            <w:r w:rsidRPr="00596C71">
              <w:rPr>
                <w:rFonts w:eastAsiaTheme="minorEastAsia"/>
                <w:color w:val="FFFFFF"/>
                <w:sz w:val="19"/>
                <w:lang w:eastAsia="en-AU"/>
              </w:rPr>
              <w:t>17</w:t>
            </w:r>
          </w:p>
        </w:tc>
      </w:tr>
      <w:tr w:rsidR="00F60B5F" w:rsidRPr="00596C71" w:rsidTr="00E1323B">
        <w:tc>
          <w:tcPr>
            <w:tcW w:w="2408" w:type="dxa"/>
            <w:tcBorders>
              <w:left w:val="single" w:sz="6" w:space="0" w:color="000000"/>
              <w:bottom w:val="single" w:sz="6" w:space="0" w:color="000000"/>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 xml:space="preserve">  </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Actual</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Budget</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Revised</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Estimate</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Estimate</w:t>
            </w:r>
          </w:p>
        </w:tc>
        <w:tc>
          <w:tcPr>
            <w:tcW w:w="892" w:type="dxa"/>
            <w:tcBorders>
              <w:left w:val="nil"/>
              <w:bottom w:val="single" w:sz="6" w:space="0" w:color="000000"/>
              <w:right w:val="single" w:sz="6" w:space="0" w:color="000000"/>
            </w:tcBorders>
            <w:shd w:val="clear" w:color="auto"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Estimate</w:t>
            </w:r>
          </w:p>
        </w:tc>
      </w:tr>
      <w:tr w:rsidR="00F60B5F" w:rsidRPr="00596C71" w:rsidTr="00E1323B">
        <w:tc>
          <w:tcPr>
            <w:tcW w:w="2408" w:type="dxa"/>
            <w:tcBorders>
              <w:top w:val="single" w:sz="6" w:space="0" w:color="000000"/>
              <w:left w:val="nil"/>
              <w:bottom w:val="nil"/>
              <w:right w:val="nil"/>
            </w:tcBorders>
          </w:tcPr>
          <w:p w:rsidR="00F60B5F" w:rsidRPr="00596C71" w:rsidRDefault="00F60B5F" w:rsidP="00E1323B">
            <w:pPr>
              <w:pStyle w:val="Tabletext"/>
              <w:rPr>
                <w:rFonts w:eastAsiaTheme="minorEastAsia"/>
                <w:b/>
                <w:sz w:val="19"/>
                <w:lang w:eastAsia="en-AU"/>
              </w:rPr>
            </w:pPr>
            <w:r w:rsidRPr="00596C71">
              <w:rPr>
                <w:rFonts w:eastAsiaTheme="minorEastAsia"/>
                <w:b/>
                <w:sz w:val="19"/>
                <w:lang w:eastAsia="en-AU"/>
              </w:rPr>
              <w:t xml:space="preserve">Cash surplus/(deficit) </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208.5</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366.7</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492.0</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622.4</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671.3</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678.2</w:t>
            </w:r>
          </w:p>
        </w:tc>
      </w:tr>
      <w:tr w:rsidR="00F60B5F" w:rsidRPr="00596C71" w:rsidTr="00E1323B">
        <w:tc>
          <w:tcPr>
            <w:tcW w:w="2408" w:type="dxa"/>
            <w:tcBorders>
              <w:top w:val="nil"/>
              <w:left w:val="nil"/>
              <w:bottom w:val="nil"/>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Convergence differences:</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w:t>
            </w:r>
          </w:p>
        </w:tc>
      </w:tr>
      <w:tr w:rsidR="00F60B5F" w:rsidRPr="00596C71" w:rsidTr="00E1323B">
        <w:tc>
          <w:tcPr>
            <w:tcW w:w="2408" w:type="dxa"/>
            <w:tcBorders>
              <w:top w:val="nil"/>
              <w:left w:val="nil"/>
              <w:bottom w:val="single" w:sz="6" w:space="0" w:color="auto"/>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Acquisitions under finance leases and similar arrangements</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w:t>
            </w:r>
          </w:p>
        </w:tc>
      </w:tr>
      <w:tr w:rsidR="00F60B5F" w:rsidRPr="00596C71" w:rsidTr="00E1323B">
        <w:tc>
          <w:tcPr>
            <w:tcW w:w="2408"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text"/>
              <w:rPr>
                <w:rFonts w:eastAsiaTheme="minorEastAsia"/>
                <w:b/>
                <w:sz w:val="19"/>
                <w:vertAlign w:val="superscript"/>
                <w:lang w:eastAsia="en-AU"/>
              </w:rPr>
            </w:pPr>
            <w:r w:rsidRPr="00596C71">
              <w:rPr>
                <w:rFonts w:eastAsiaTheme="minorEastAsia"/>
                <w:b/>
                <w:sz w:val="19"/>
                <w:lang w:eastAsia="en-AU"/>
              </w:rPr>
              <w:t xml:space="preserve">GFS cash surplus/(deficit) </w:t>
            </w:r>
            <w:r w:rsidRPr="00596C71">
              <w:rPr>
                <w:rFonts w:eastAsiaTheme="minorEastAsia"/>
                <w:b/>
                <w:sz w:val="19"/>
                <w:vertAlign w:val="superscript"/>
                <w:lang w:eastAsia="en-AU"/>
              </w:rPr>
              <w:t>(a)</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208.5</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366.7</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492.0</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622.4</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671.3</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678.2</w:t>
            </w:r>
          </w:p>
        </w:tc>
      </w:tr>
    </w:tbl>
    <w:p w:rsidR="00F60B5F" w:rsidRPr="00F27D04" w:rsidRDefault="00F60B5F" w:rsidP="00D62613">
      <w:pPr>
        <w:pStyle w:val="Source"/>
      </w:pPr>
      <w:r w:rsidRPr="00F27D04">
        <w:t>Source: Department of Treasury and Finance</w:t>
      </w:r>
    </w:p>
    <w:p w:rsidR="00F60B5F" w:rsidRPr="00F27D04" w:rsidRDefault="00F60B5F" w:rsidP="0027566E">
      <w:pPr>
        <w:pStyle w:val="Notes"/>
      </w:pPr>
      <w:r w:rsidRPr="00F27D04">
        <w:t>Note:</w:t>
      </w:r>
    </w:p>
    <w:p w:rsidR="00F60B5F" w:rsidRPr="00F27D04" w:rsidRDefault="00F60B5F" w:rsidP="0027566E">
      <w:pPr>
        <w:pStyle w:val="Notes"/>
      </w:pPr>
      <w:r w:rsidRPr="00F27D04">
        <w:t xml:space="preserve">(a) </w:t>
      </w:r>
      <w:r w:rsidRPr="00F27D04">
        <w:tab/>
        <w:t>Determined in accordance with ABS GFS manual.</w:t>
      </w:r>
    </w:p>
    <w:p w:rsidR="00F60B5F" w:rsidRPr="00F27D04" w:rsidRDefault="00F60B5F" w:rsidP="00C61E98"/>
    <w:p w:rsidR="00F60B5F" w:rsidRPr="00F27D04" w:rsidRDefault="00F60B5F" w:rsidP="00C61E98"/>
    <w:p w:rsidR="00F60B5F" w:rsidRPr="00F27D04" w:rsidRDefault="00F60B5F" w:rsidP="00250CAA">
      <w:pPr>
        <w:pStyle w:val="Tableheading"/>
      </w:pPr>
      <w:r w:rsidRPr="00F27D04">
        <w:t>Table 6.19:</w:t>
      </w:r>
      <w:r w:rsidRPr="00F27D04">
        <w:tab/>
        <w:t>Net acquisition of non</w:t>
      </w:r>
      <w:r>
        <w:noBreakHyphen/>
      </w:r>
      <w:r w:rsidRPr="00F27D04">
        <w:t>financial assets – public financial corporations sector</w:t>
      </w:r>
    </w:p>
    <w:p w:rsidR="00F60B5F"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892"/>
        <w:gridCol w:w="892"/>
        <w:gridCol w:w="892"/>
        <w:gridCol w:w="892"/>
        <w:gridCol w:w="892"/>
        <w:gridCol w:w="892"/>
      </w:tblGrid>
      <w:tr w:rsidR="00F60B5F" w:rsidRPr="00596C71" w:rsidTr="00E1323B">
        <w:tc>
          <w:tcPr>
            <w:tcW w:w="2408" w:type="dxa"/>
            <w:tcBorders>
              <w:top w:val="single" w:sz="6" w:space="0" w:color="000000"/>
              <w:left w:val="single" w:sz="6" w:space="0" w:color="000000"/>
              <w:bottom w:val="nil"/>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 xml:space="preserve"> </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2012</w:t>
            </w:r>
            <w:r>
              <w:rPr>
                <w:rFonts w:eastAsiaTheme="minorEastAsia"/>
                <w:color w:val="FFFFFF"/>
                <w:sz w:val="19"/>
                <w:lang w:eastAsia="en-AU"/>
              </w:rPr>
              <w:noBreakHyphen/>
            </w:r>
            <w:r w:rsidRPr="00596C71">
              <w:rPr>
                <w:rFonts w:eastAsiaTheme="minorEastAsia"/>
                <w:color w:val="FFFFFF"/>
                <w:sz w:val="19"/>
                <w:lang w:eastAsia="en-AU"/>
              </w:rPr>
              <w:t>13</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2013</w:t>
            </w:r>
            <w:r>
              <w:rPr>
                <w:rFonts w:eastAsiaTheme="minorEastAsia"/>
                <w:color w:val="FFFFFF"/>
                <w:sz w:val="19"/>
                <w:lang w:eastAsia="en-AU"/>
              </w:rPr>
              <w:noBreakHyphen/>
            </w:r>
            <w:r w:rsidRPr="00596C71">
              <w:rPr>
                <w:rFonts w:eastAsiaTheme="minorEastAsia"/>
                <w:color w:val="FFFFFF"/>
                <w:sz w:val="19"/>
                <w:lang w:eastAsia="en-AU"/>
              </w:rPr>
              <w:t>14</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2013</w:t>
            </w:r>
            <w:r>
              <w:rPr>
                <w:rFonts w:eastAsiaTheme="minorEastAsia"/>
                <w:color w:val="FFFFFF"/>
                <w:sz w:val="19"/>
                <w:lang w:eastAsia="en-AU"/>
              </w:rPr>
              <w:noBreakHyphen/>
            </w:r>
            <w:r w:rsidRPr="00596C71">
              <w:rPr>
                <w:rFonts w:eastAsiaTheme="minorEastAsia"/>
                <w:color w:val="FFFFFF"/>
                <w:sz w:val="19"/>
                <w:lang w:eastAsia="en-AU"/>
              </w:rPr>
              <w:t>14</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2014</w:t>
            </w:r>
            <w:r>
              <w:rPr>
                <w:rFonts w:eastAsiaTheme="minorEastAsia"/>
                <w:color w:val="FFFFFF"/>
                <w:sz w:val="19"/>
                <w:lang w:eastAsia="en-AU"/>
              </w:rPr>
              <w:noBreakHyphen/>
            </w:r>
            <w:r w:rsidRPr="00596C71">
              <w:rPr>
                <w:rFonts w:eastAsiaTheme="minorEastAsia"/>
                <w:color w:val="FFFFFF"/>
                <w:sz w:val="19"/>
                <w:lang w:eastAsia="en-AU"/>
              </w:rPr>
              <w:t>15</w:t>
            </w:r>
          </w:p>
        </w:tc>
        <w:tc>
          <w:tcPr>
            <w:tcW w:w="892" w:type="dxa"/>
            <w:tcBorders>
              <w:top w:val="single" w:sz="6" w:space="0" w:color="000000"/>
              <w:left w:val="nil"/>
              <w:bottom w:val="nil"/>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2015</w:t>
            </w:r>
            <w:r>
              <w:rPr>
                <w:rFonts w:eastAsiaTheme="minorEastAsia"/>
                <w:color w:val="FFFFFF"/>
                <w:sz w:val="19"/>
                <w:lang w:eastAsia="en-AU"/>
              </w:rPr>
              <w:noBreakHyphen/>
            </w:r>
            <w:r w:rsidRPr="00596C71">
              <w:rPr>
                <w:rFonts w:eastAsiaTheme="minorEastAsia"/>
                <w:color w:val="FFFFFF"/>
                <w:sz w:val="19"/>
                <w:lang w:eastAsia="en-AU"/>
              </w:rPr>
              <w:t>16</w:t>
            </w:r>
          </w:p>
        </w:tc>
        <w:tc>
          <w:tcPr>
            <w:tcW w:w="892" w:type="dxa"/>
            <w:tcBorders>
              <w:top w:val="single" w:sz="6" w:space="0" w:color="000000"/>
              <w:left w:val="nil"/>
              <w:bottom w:val="nil"/>
              <w:right w:val="single" w:sz="6" w:space="0" w:color="000000"/>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2016</w:t>
            </w:r>
            <w:r>
              <w:rPr>
                <w:rFonts w:eastAsiaTheme="minorEastAsia"/>
                <w:color w:val="FFFFFF"/>
                <w:sz w:val="19"/>
                <w:lang w:eastAsia="en-AU"/>
              </w:rPr>
              <w:noBreakHyphen/>
            </w:r>
            <w:r w:rsidRPr="00596C71">
              <w:rPr>
                <w:rFonts w:eastAsiaTheme="minorEastAsia"/>
                <w:color w:val="FFFFFF"/>
                <w:sz w:val="19"/>
                <w:lang w:eastAsia="en-AU"/>
              </w:rPr>
              <w:t>17</w:t>
            </w:r>
          </w:p>
        </w:tc>
      </w:tr>
      <w:tr w:rsidR="00F60B5F" w:rsidRPr="00596C71" w:rsidTr="00E1323B">
        <w:tc>
          <w:tcPr>
            <w:tcW w:w="2408" w:type="dxa"/>
            <w:tcBorders>
              <w:left w:val="single" w:sz="6" w:space="0" w:color="000000"/>
              <w:bottom w:val="single" w:sz="6" w:space="0" w:color="000000"/>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 xml:space="preserve"> </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Actual</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Estimate</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Revised</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Estimate</w:t>
            </w:r>
          </w:p>
        </w:tc>
        <w:tc>
          <w:tcPr>
            <w:tcW w:w="892" w:type="dxa"/>
            <w:tcBorders>
              <w:left w:val="nil"/>
              <w:bottom w:val="single" w:sz="6" w:space="0" w:color="000000"/>
              <w:right w:val="nil"/>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Estimate</w:t>
            </w:r>
          </w:p>
        </w:tc>
        <w:tc>
          <w:tcPr>
            <w:tcW w:w="892" w:type="dxa"/>
            <w:tcBorders>
              <w:left w:val="nil"/>
              <w:bottom w:val="single" w:sz="6" w:space="0" w:color="000000"/>
              <w:right w:val="single" w:sz="6" w:space="0" w:color="000000"/>
            </w:tcBorders>
            <w:shd w:val="clear" w:color="000000" w:fill="000000"/>
          </w:tcPr>
          <w:p w:rsidR="00F60B5F" w:rsidRPr="00596C71" w:rsidRDefault="00F60B5F" w:rsidP="00E1323B">
            <w:pPr>
              <w:pStyle w:val="Tabletextheading"/>
              <w:rPr>
                <w:rFonts w:eastAsiaTheme="minorEastAsia"/>
                <w:color w:val="FFFFFF"/>
                <w:sz w:val="19"/>
                <w:lang w:eastAsia="en-AU"/>
              </w:rPr>
            </w:pPr>
            <w:r w:rsidRPr="00596C71">
              <w:rPr>
                <w:rFonts w:eastAsiaTheme="minorEastAsia"/>
                <w:color w:val="FFFFFF"/>
                <w:sz w:val="19"/>
                <w:lang w:eastAsia="en-AU"/>
              </w:rPr>
              <w:t>Estimate</w:t>
            </w:r>
          </w:p>
        </w:tc>
      </w:tr>
      <w:tr w:rsidR="00F60B5F" w:rsidRPr="00596C71" w:rsidTr="00E1323B">
        <w:tc>
          <w:tcPr>
            <w:tcW w:w="2408" w:type="dxa"/>
            <w:tcBorders>
              <w:top w:val="single" w:sz="6" w:space="0" w:color="000000"/>
              <w:left w:val="nil"/>
              <w:bottom w:val="nil"/>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Purchases of non</w:t>
            </w:r>
            <w:r>
              <w:rPr>
                <w:rFonts w:eastAsiaTheme="minorEastAsia"/>
                <w:sz w:val="19"/>
                <w:lang w:eastAsia="en-AU"/>
              </w:rPr>
              <w:noBreakHyphen/>
            </w:r>
            <w:r w:rsidRPr="00596C71">
              <w:rPr>
                <w:rFonts w:eastAsiaTheme="minorEastAsia"/>
                <w:sz w:val="19"/>
                <w:lang w:eastAsia="en-AU"/>
              </w:rPr>
              <w:t>financial assets</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74.4</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87.4</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94.4</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66.0</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48.9</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xml:space="preserve"> 58.0</w:t>
            </w:r>
          </w:p>
        </w:tc>
      </w:tr>
      <w:tr w:rsidR="00F60B5F" w:rsidRPr="00596C71" w:rsidTr="00E1323B">
        <w:tc>
          <w:tcPr>
            <w:tcW w:w="2408" w:type="dxa"/>
            <w:tcBorders>
              <w:top w:val="nil"/>
              <w:left w:val="nil"/>
              <w:bottom w:val="nil"/>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Less: Sales of non</w:t>
            </w:r>
            <w:r>
              <w:rPr>
                <w:rFonts w:eastAsiaTheme="minorEastAsia"/>
                <w:sz w:val="19"/>
                <w:lang w:eastAsia="en-AU"/>
              </w:rPr>
              <w:noBreakHyphen/>
            </w:r>
            <w:r w:rsidRPr="00596C71">
              <w:rPr>
                <w:rFonts w:eastAsiaTheme="minorEastAsia"/>
                <w:sz w:val="19"/>
                <w:lang w:eastAsia="en-AU"/>
              </w:rPr>
              <w:t>financial assets</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( 1.9)</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( 1.6)</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( 18.4)</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( 1.4)</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( 1.4)</w:t>
            </w: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( 0.8)</w:t>
            </w:r>
          </w:p>
        </w:tc>
      </w:tr>
      <w:tr w:rsidR="00F60B5F" w:rsidRPr="00596C71" w:rsidTr="00E1323B">
        <w:tc>
          <w:tcPr>
            <w:tcW w:w="2408" w:type="dxa"/>
            <w:tcBorders>
              <w:top w:val="nil"/>
              <w:left w:val="nil"/>
              <w:bottom w:val="single" w:sz="6" w:space="0" w:color="auto"/>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Less: Depreciation</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( 39.3)</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( 48.1)</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( 49.1)</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( 58.2)</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( 57.9)</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( 61.2)</w:t>
            </w:r>
          </w:p>
        </w:tc>
      </w:tr>
      <w:tr w:rsidR="00F60B5F" w:rsidRPr="00596C71" w:rsidTr="00E1323B">
        <w:tc>
          <w:tcPr>
            <w:tcW w:w="2408"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text"/>
              <w:rPr>
                <w:rFonts w:eastAsiaTheme="minorEastAsia"/>
                <w:b/>
                <w:sz w:val="19"/>
                <w:lang w:eastAsia="en-AU"/>
              </w:rPr>
            </w:pPr>
            <w:r w:rsidRPr="00596C71">
              <w:rPr>
                <w:rFonts w:eastAsiaTheme="minorEastAsia"/>
                <w:b/>
                <w:sz w:val="19"/>
                <w:lang w:eastAsia="en-AU"/>
              </w:rPr>
              <w:t>Total net acquisition of non</w:t>
            </w:r>
            <w:r>
              <w:rPr>
                <w:rFonts w:eastAsiaTheme="minorEastAsia"/>
                <w:b/>
                <w:sz w:val="19"/>
                <w:lang w:eastAsia="en-AU"/>
              </w:rPr>
              <w:noBreakHyphen/>
            </w:r>
            <w:r w:rsidRPr="00596C71">
              <w:rPr>
                <w:rFonts w:eastAsiaTheme="minorEastAsia"/>
                <w:b/>
                <w:sz w:val="19"/>
                <w:lang w:eastAsia="en-AU"/>
              </w:rPr>
              <w:t>financial assets</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sz w:val="19"/>
                <w:lang w:eastAsia="en-AU"/>
              </w:rPr>
            </w:pPr>
            <w:r w:rsidRPr="00596C71">
              <w:rPr>
                <w:rFonts w:eastAsiaTheme="minorEastAsia"/>
                <w:b/>
                <w:sz w:val="19"/>
                <w:lang w:eastAsia="en-AU"/>
              </w:rPr>
              <w:t xml:space="preserve"> 33.2</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sz w:val="19"/>
                <w:lang w:eastAsia="en-AU"/>
              </w:rPr>
            </w:pPr>
            <w:r w:rsidRPr="00596C71">
              <w:rPr>
                <w:rFonts w:eastAsiaTheme="minorEastAsia"/>
                <w:b/>
                <w:sz w:val="19"/>
                <w:lang w:eastAsia="en-AU"/>
              </w:rPr>
              <w:t xml:space="preserve"> 37.7</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sz w:val="19"/>
                <w:lang w:eastAsia="en-AU"/>
              </w:rPr>
            </w:pPr>
            <w:r w:rsidRPr="00596C71">
              <w:rPr>
                <w:rFonts w:eastAsiaTheme="minorEastAsia"/>
                <w:b/>
                <w:sz w:val="19"/>
                <w:lang w:eastAsia="en-AU"/>
              </w:rPr>
              <w:t xml:space="preserve"> 26.9</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sz w:val="19"/>
                <w:lang w:eastAsia="en-AU"/>
              </w:rPr>
            </w:pPr>
            <w:r w:rsidRPr="00596C71">
              <w:rPr>
                <w:rFonts w:eastAsiaTheme="minorEastAsia"/>
                <w:b/>
                <w:sz w:val="19"/>
                <w:lang w:eastAsia="en-AU"/>
              </w:rPr>
              <w:t xml:space="preserve"> 6.4</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sz w:val="19"/>
                <w:lang w:eastAsia="en-AU"/>
              </w:rPr>
            </w:pPr>
            <w:r w:rsidRPr="00596C71">
              <w:rPr>
                <w:rFonts w:eastAsiaTheme="minorEastAsia"/>
                <w:b/>
                <w:sz w:val="19"/>
                <w:lang w:eastAsia="en-AU"/>
              </w:rPr>
              <w:t>( 10.4)</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sz w:val="19"/>
                <w:lang w:eastAsia="en-AU"/>
              </w:rPr>
            </w:pPr>
            <w:r w:rsidRPr="00596C71">
              <w:rPr>
                <w:rFonts w:eastAsiaTheme="minorEastAsia"/>
                <w:b/>
                <w:sz w:val="19"/>
                <w:lang w:eastAsia="en-AU"/>
              </w:rPr>
              <w:t>( 4.0)</w:t>
            </w:r>
          </w:p>
        </w:tc>
      </w:tr>
    </w:tbl>
    <w:p w:rsidR="00F60B5F" w:rsidRDefault="00F60B5F" w:rsidP="00596C71">
      <w:pPr>
        <w:pStyle w:val="Source"/>
      </w:pPr>
      <w:r w:rsidRPr="00F27D04">
        <w:t>Source: Department of Treasury and Finance</w:t>
      </w:r>
    </w:p>
    <w:p w:rsidR="00F60B5F" w:rsidRPr="00F27D04" w:rsidRDefault="00F60B5F" w:rsidP="00250CAA"/>
    <w:p w:rsidR="00F60B5F" w:rsidRPr="00F27D04" w:rsidRDefault="00F60B5F" w:rsidP="00250CAA"/>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6.20:</w:t>
      </w:r>
      <w:r w:rsidRPr="00F27D04">
        <w:tab/>
        <w:t>State of Victoria operating statement</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47"/>
        <w:gridCol w:w="90"/>
        <w:gridCol w:w="795"/>
        <w:gridCol w:w="886"/>
        <w:gridCol w:w="885"/>
        <w:gridCol w:w="886"/>
        <w:gridCol w:w="885"/>
        <w:gridCol w:w="886"/>
      </w:tblGrid>
      <w:tr w:rsidR="00F60B5F" w:rsidRPr="00E1323B" w:rsidTr="00596C71">
        <w:trPr>
          <w:cantSplit/>
          <w:tblHeader/>
        </w:trPr>
        <w:tc>
          <w:tcPr>
            <w:tcW w:w="2447"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gridSpan w:val="2"/>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2012</w:t>
            </w:r>
            <w:r>
              <w:rPr>
                <w:rFonts w:eastAsiaTheme="minorEastAsia"/>
                <w:iCs/>
                <w:color w:val="FFFFFF"/>
                <w:lang w:eastAsia="en-AU"/>
              </w:rPr>
              <w:noBreakHyphen/>
            </w:r>
            <w:r w:rsidRPr="00E1323B">
              <w:rPr>
                <w:rFonts w:eastAsiaTheme="minorEastAsia"/>
                <w:iCs/>
                <w:color w:val="FFFFFF"/>
                <w:lang w:eastAsia="en-AU"/>
              </w:rPr>
              <w:t>13</w:t>
            </w:r>
          </w:p>
        </w:tc>
        <w:tc>
          <w:tcPr>
            <w:tcW w:w="886"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86"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2014</w:t>
            </w:r>
            <w:r>
              <w:rPr>
                <w:rFonts w:eastAsiaTheme="minorEastAsia"/>
                <w:iCs/>
                <w:color w:val="FFFFFF"/>
                <w:lang w:eastAsia="en-AU"/>
              </w:rPr>
              <w:noBreakHyphen/>
            </w:r>
            <w:r w:rsidRPr="00E1323B">
              <w:rPr>
                <w:rFonts w:eastAsiaTheme="minorEastAsia"/>
                <w:iCs/>
                <w:color w:val="FFFFFF"/>
                <w:lang w:eastAsia="en-AU"/>
              </w:rPr>
              <w:t>15</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2015</w:t>
            </w:r>
            <w:r>
              <w:rPr>
                <w:rFonts w:eastAsiaTheme="minorEastAsia"/>
                <w:iCs/>
                <w:color w:val="FFFFFF"/>
                <w:lang w:eastAsia="en-AU"/>
              </w:rPr>
              <w:noBreakHyphen/>
            </w:r>
            <w:r w:rsidRPr="00E1323B">
              <w:rPr>
                <w:rFonts w:eastAsiaTheme="minorEastAsia"/>
                <w:iCs/>
                <w:color w:val="FFFFFF"/>
                <w:lang w:eastAsia="en-AU"/>
              </w:rPr>
              <w:t>16</w:t>
            </w:r>
          </w:p>
        </w:tc>
        <w:tc>
          <w:tcPr>
            <w:tcW w:w="886"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2016</w:t>
            </w:r>
            <w:r>
              <w:rPr>
                <w:rFonts w:eastAsiaTheme="minorEastAsia"/>
                <w:iCs/>
                <w:color w:val="FFFFFF"/>
                <w:lang w:eastAsia="en-AU"/>
              </w:rPr>
              <w:noBreakHyphen/>
            </w:r>
            <w:r w:rsidRPr="00E1323B">
              <w:rPr>
                <w:rFonts w:eastAsiaTheme="minorEastAsia"/>
                <w:iCs/>
                <w:color w:val="FFFFFF"/>
                <w:lang w:eastAsia="en-AU"/>
              </w:rPr>
              <w:t>17</w:t>
            </w:r>
          </w:p>
        </w:tc>
      </w:tr>
      <w:tr w:rsidR="00F60B5F" w:rsidRPr="00E1323B" w:rsidTr="00596C71">
        <w:trPr>
          <w:cantSplit/>
          <w:tblHeader/>
        </w:trPr>
        <w:tc>
          <w:tcPr>
            <w:tcW w:w="2447"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gridSpan w:val="2"/>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Actual</w:t>
            </w:r>
          </w:p>
        </w:tc>
        <w:tc>
          <w:tcPr>
            <w:tcW w:w="88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Revised</w:t>
            </w:r>
          </w:p>
        </w:tc>
        <w:tc>
          <w:tcPr>
            <w:tcW w:w="88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6"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r>
      <w:tr w:rsidR="00F60B5F" w:rsidRPr="00E1323B" w:rsidTr="00596C71">
        <w:trPr>
          <w:cantSplit/>
        </w:trPr>
        <w:tc>
          <w:tcPr>
            <w:tcW w:w="2447"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Revenue</w:t>
            </w:r>
          </w:p>
        </w:tc>
        <w:tc>
          <w:tcPr>
            <w:tcW w:w="885" w:type="dxa"/>
            <w:gridSpan w:val="2"/>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Taxation revenue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15 184.7</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16 035.5</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16 071.6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17 172.2</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17 885.6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18 891.6</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Interest</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970.4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1 022.7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960.6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999.0</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1 057.9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976.1</w:t>
            </w:r>
          </w:p>
        </w:tc>
      </w:tr>
      <w:tr w:rsidR="00F60B5F" w:rsidRPr="00E1323B" w:rsidTr="00596C71">
        <w:trPr>
          <w:cantSplit/>
        </w:trPr>
        <w:tc>
          <w:tcPr>
            <w:tcW w:w="2537" w:type="dxa"/>
            <w:gridSpan w:val="2"/>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and rate equivalents</w:t>
            </w:r>
          </w:p>
        </w:tc>
        <w:tc>
          <w:tcPr>
            <w:tcW w:w="79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610.9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520.6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592.3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630.5</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665.9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706.0</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Sales of goods and services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12 896.9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14 379.6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13 968.1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14 219.2</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14 705.6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14 965.9</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Grants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21 790.4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23 180.1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23 134.9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24 154.6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24 710.2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26 060.4</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current revenue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2 749.6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2 508.8</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2 546.9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2 439.6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2 517.7</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2 563.1</w:t>
            </w:r>
          </w:p>
        </w:tc>
      </w:tr>
      <w:tr w:rsidR="00F60B5F" w:rsidRPr="00E1323B" w:rsidTr="00596C71">
        <w:trPr>
          <w:cantSplit/>
        </w:trPr>
        <w:tc>
          <w:tcPr>
            <w:tcW w:w="2447" w:type="dxa"/>
            <w:tcBorders>
              <w:top w:val="single" w:sz="6" w:space="0" w:color="auto"/>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revenue</w:t>
            </w:r>
          </w:p>
        </w:tc>
        <w:tc>
          <w:tcPr>
            <w:tcW w:w="885" w:type="dxa"/>
            <w:gridSpan w:val="2"/>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54 203.0</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57 647.3</w:t>
            </w:r>
          </w:p>
        </w:tc>
        <w:tc>
          <w:tcPr>
            <w:tcW w:w="885"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57 274.4</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59 615.1</w:t>
            </w:r>
          </w:p>
        </w:tc>
        <w:tc>
          <w:tcPr>
            <w:tcW w:w="885"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61 542.9</w:t>
            </w:r>
          </w:p>
        </w:tc>
        <w:tc>
          <w:tcPr>
            <w:tcW w:w="886" w:type="dxa"/>
            <w:tcBorders>
              <w:top w:val="single" w:sz="6" w:space="0" w:color="auto"/>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64 163.1</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Expenses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Employee expenses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18 794.9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18 945.3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18 812.9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19 495.3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20 238.2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20 873.8</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cs="Calibri"/>
                <w:sz w:val="19"/>
                <w:szCs w:val="19"/>
                <w:vertAlign w:val="superscript"/>
                <w:lang w:eastAsia="en-AU"/>
              </w:rPr>
            </w:pPr>
            <w:r w:rsidRPr="00E1323B">
              <w:rPr>
                <w:rFonts w:eastAsiaTheme="minorEastAsia"/>
                <w:sz w:val="19"/>
                <w:szCs w:val="19"/>
                <w:lang w:eastAsia="en-AU"/>
              </w:rPr>
              <w:t xml:space="preserve">Superannuation interest expense </w:t>
            </w:r>
            <w:r w:rsidRPr="00E1323B">
              <w:rPr>
                <w:rFonts w:eastAsiaTheme="minorEastAsia" w:cs="Calibri"/>
                <w:sz w:val="19"/>
                <w:szCs w:val="19"/>
                <w:vertAlign w:val="superscript"/>
                <w:lang w:eastAsia="en-AU"/>
              </w:rPr>
              <w:t>(a)</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sz w:val="19"/>
                <w:szCs w:val="19"/>
                <w:lang w:eastAsia="en-AU"/>
              </w:rPr>
              <w:t>1 076.8</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1 129.2</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1 052.0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1 005.3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991.2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970.4</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superannuation</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2 040.1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2 012.6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1 956.9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1 977.9</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2 014.2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2 039.4</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Depreciation</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4 131.6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4 445.1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4 368.6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4 547.4</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4 817.4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5 169.8</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Interest expense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2 538.6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3 054.7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2 902.9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3 082.7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3 128.9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3 176.7</w:t>
            </w:r>
          </w:p>
        </w:tc>
      </w:tr>
      <w:tr w:rsidR="00F60B5F" w:rsidRPr="00E1323B" w:rsidTr="00596C71">
        <w:trPr>
          <w:cantSplit/>
        </w:trPr>
        <w:tc>
          <w:tcPr>
            <w:tcW w:w="2447" w:type="dxa"/>
            <w:tcBorders>
              <w:top w:val="nil"/>
              <w:left w:val="nil"/>
              <w:bottom w:val="nil"/>
              <w:right w:val="nil"/>
            </w:tcBorders>
            <w:shd w:val="solid" w:color="FFFFFF" w:fill="auto"/>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Grants and other transfers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5 398.3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5 268.7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4 999.2</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5 366.9</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5 545.4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5 885.5</w:t>
            </w:r>
          </w:p>
        </w:tc>
      </w:tr>
      <w:tr w:rsidR="00F60B5F" w:rsidRPr="00E1323B" w:rsidTr="00596C71">
        <w:trPr>
          <w:cantSplit/>
        </w:trPr>
        <w:tc>
          <w:tcPr>
            <w:tcW w:w="2447" w:type="dxa"/>
            <w:tcBorders>
              <w:top w:val="nil"/>
              <w:left w:val="nil"/>
              <w:bottom w:val="nil"/>
              <w:right w:val="nil"/>
            </w:tcBorders>
            <w:shd w:val="solid" w:color="FFFFFF" w:fill="auto"/>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operating expenses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23 342.6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24 282.3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24 600.4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24 787.3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24 507.0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25 212.4</w:t>
            </w:r>
          </w:p>
        </w:tc>
      </w:tr>
      <w:tr w:rsidR="00F60B5F" w:rsidRPr="00E1323B" w:rsidTr="00596C71">
        <w:trPr>
          <w:cantSplit/>
        </w:trPr>
        <w:tc>
          <w:tcPr>
            <w:tcW w:w="2447"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expenses</w:t>
            </w:r>
          </w:p>
        </w:tc>
        <w:tc>
          <w:tcPr>
            <w:tcW w:w="885"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57 322.8</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59 138.0</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58 693.0</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60 262.8</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61 242.3</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63 328.1</w:t>
            </w:r>
          </w:p>
        </w:tc>
      </w:tr>
      <w:tr w:rsidR="00F60B5F" w:rsidRPr="00E1323B" w:rsidTr="00596C71">
        <w:trPr>
          <w:cantSplit/>
        </w:trPr>
        <w:tc>
          <w:tcPr>
            <w:tcW w:w="2537" w:type="dxa"/>
            <w:gridSpan w:val="2"/>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Net result from transactions</w:t>
            </w:r>
            <w:r>
              <w:rPr>
                <w:rFonts w:eastAsiaTheme="minorEastAsia"/>
                <w:b/>
                <w:bCs/>
                <w:sz w:val="19"/>
                <w:szCs w:val="19"/>
                <w:lang w:eastAsia="en-AU"/>
              </w:rPr>
              <w:t xml:space="preserve"> – </w:t>
            </w:r>
            <w:r w:rsidRPr="00E1323B">
              <w:rPr>
                <w:rFonts w:eastAsiaTheme="minorEastAsia"/>
                <w:b/>
                <w:bCs/>
                <w:sz w:val="19"/>
                <w:szCs w:val="19"/>
                <w:lang w:eastAsia="en-AU"/>
              </w:rPr>
              <w:t>net operating balance</w:t>
            </w:r>
          </w:p>
        </w:tc>
        <w:tc>
          <w:tcPr>
            <w:tcW w:w="79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(3 119.8)</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(1 490.7)</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(1 418.6)</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sz w:val="19"/>
                <w:szCs w:val="19"/>
                <w:lang w:eastAsia="en-AU"/>
              </w:rPr>
            </w:pPr>
            <w:r w:rsidRPr="00E1323B">
              <w:rPr>
                <w:rFonts w:eastAsiaTheme="minorEastAsia"/>
                <w:b/>
                <w:bCs/>
                <w:sz w:val="19"/>
                <w:szCs w:val="19"/>
                <w:lang w:eastAsia="en-AU"/>
              </w:rPr>
              <w:t>( 647.7)</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300.6</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834.9</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Other economic flows included in net result</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gain/(loss) on sale of non</w:t>
            </w:r>
            <w:r>
              <w:rPr>
                <w:rFonts w:eastAsiaTheme="minorEastAsia"/>
                <w:sz w:val="19"/>
                <w:szCs w:val="19"/>
                <w:lang w:eastAsia="en-AU"/>
              </w:rPr>
              <w:noBreakHyphen/>
            </w:r>
            <w:r w:rsidRPr="00E1323B">
              <w:rPr>
                <w:rFonts w:eastAsiaTheme="minorEastAsia"/>
                <w:sz w:val="19"/>
                <w:szCs w:val="19"/>
                <w:lang w:eastAsia="en-AU"/>
              </w:rPr>
              <w:t>financial assets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21.0</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106.6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106.5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93.3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75.5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95.3</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gain on financial assets or liabilities at fair value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3 168.5</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806.3</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862.7</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843.9</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905.1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969.5</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Share of net profit/(loss) from associates, excluding dividends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sz w:val="19"/>
                <w:szCs w:val="19"/>
                <w:lang w:eastAsia="en-AU"/>
              </w:rPr>
              <w:t>( 83.4)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gains/(losses) from other economic flows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1 549.7</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194.6</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375.9</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359.7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353.7</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357.3</w:t>
            </w:r>
          </w:p>
        </w:tc>
      </w:tr>
      <w:tr w:rsidR="00F60B5F" w:rsidRPr="00E1323B" w:rsidTr="00596C71">
        <w:trPr>
          <w:cantSplit/>
        </w:trPr>
        <w:tc>
          <w:tcPr>
            <w:tcW w:w="2447"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other economic flows included in net result</w:t>
            </w:r>
          </w:p>
        </w:tc>
        <w:tc>
          <w:tcPr>
            <w:tcW w:w="885"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4 655.8</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1 107.6</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1 345.1</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1 296.9</w:t>
            </w:r>
          </w:p>
        </w:tc>
        <w:tc>
          <w:tcPr>
            <w:tcW w:w="885"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1 334.3</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1 422.1</w:t>
            </w:r>
          </w:p>
        </w:tc>
      </w:tr>
      <w:tr w:rsidR="00F60B5F" w:rsidRPr="00E1323B" w:rsidTr="00596C71">
        <w:trPr>
          <w:cantSplit/>
        </w:trPr>
        <w:tc>
          <w:tcPr>
            <w:tcW w:w="244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Net result</w:t>
            </w:r>
          </w:p>
        </w:tc>
        <w:tc>
          <w:tcPr>
            <w:tcW w:w="885" w:type="dxa"/>
            <w:gridSpan w:val="2"/>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1 536.0</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sz w:val="19"/>
                <w:szCs w:val="19"/>
                <w:lang w:eastAsia="en-AU"/>
              </w:rPr>
            </w:pPr>
            <w:r w:rsidRPr="00E1323B">
              <w:rPr>
                <w:rFonts w:eastAsiaTheme="minorEastAsia"/>
                <w:b/>
                <w:bCs/>
                <w:sz w:val="19"/>
                <w:szCs w:val="19"/>
                <w:lang w:eastAsia="en-AU"/>
              </w:rPr>
              <w:t>( 383.1)</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cs="Calibri"/>
                <w:b/>
                <w:bCs/>
                <w:sz w:val="19"/>
                <w:szCs w:val="19"/>
                <w:lang w:eastAsia="en-AU"/>
              </w:rPr>
            </w:pPr>
            <w:r w:rsidRPr="00E1323B">
              <w:rPr>
                <w:rFonts w:eastAsiaTheme="minorEastAsia"/>
                <w:b/>
                <w:bCs/>
                <w:sz w:val="19"/>
                <w:szCs w:val="19"/>
                <w:lang w:eastAsia="en-AU"/>
              </w:rPr>
              <w:t>( 73.4)</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649.2</w:t>
            </w:r>
          </w:p>
        </w:tc>
        <w:tc>
          <w:tcPr>
            <w:tcW w:w="885"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1 634.8</w:t>
            </w:r>
          </w:p>
        </w:tc>
        <w:tc>
          <w:tcPr>
            <w:tcW w:w="8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2 257.0</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Other economic flows – other comprehensive income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Items that will not be reclassified to net result</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Changes in non</w:t>
            </w:r>
            <w:r>
              <w:rPr>
                <w:rFonts w:eastAsiaTheme="minorEastAsia"/>
                <w:sz w:val="19"/>
                <w:szCs w:val="19"/>
                <w:lang w:eastAsia="en-AU"/>
              </w:rPr>
              <w:noBreakHyphen/>
            </w:r>
            <w:r w:rsidRPr="00E1323B">
              <w:rPr>
                <w:rFonts w:eastAsiaTheme="minorEastAsia"/>
                <w:sz w:val="19"/>
                <w:szCs w:val="19"/>
                <w:lang w:eastAsia="en-AU"/>
              </w:rPr>
              <w:t>financial assets revaluation surplus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795.4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5 774.7</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2 674.3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7 164.1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2 864.6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1 696.9</w:t>
            </w:r>
          </w:p>
        </w:tc>
      </w:tr>
      <w:tr w:rsidR="00F60B5F" w:rsidRPr="00E1323B" w:rsidTr="00596C71">
        <w:trPr>
          <w:cantSplit/>
        </w:trPr>
        <w:tc>
          <w:tcPr>
            <w:tcW w:w="2447" w:type="dxa"/>
            <w:tcBorders>
              <w:top w:val="nil"/>
              <w:left w:val="nil"/>
              <w:bottom w:val="nil"/>
              <w:right w:val="nil"/>
            </w:tcBorders>
            <w:shd w:val="clear" w:color="auto" w:fill="auto"/>
          </w:tcPr>
          <w:p w:rsidR="00F60B5F" w:rsidRPr="00E1323B" w:rsidRDefault="00F60B5F" w:rsidP="00E1323B">
            <w:pPr>
              <w:pStyle w:val="Tabletext"/>
              <w:rPr>
                <w:rFonts w:eastAsiaTheme="minorEastAsia" w:cs="Calibri"/>
                <w:sz w:val="19"/>
                <w:szCs w:val="19"/>
                <w:vertAlign w:val="superscript"/>
                <w:lang w:eastAsia="en-AU"/>
              </w:rPr>
            </w:pPr>
            <w:r w:rsidRPr="00E1323B">
              <w:rPr>
                <w:rFonts w:eastAsiaTheme="minorEastAsia"/>
                <w:sz w:val="19"/>
                <w:szCs w:val="19"/>
                <w:lang w:eastAsia="en-AU"/>
              </w:rPr>
              <w:t xml:space="preserve">Remeasurement of superannuation defined benefits plans </w:t>
            </w:r>
            <w:r w:rsidRPr="00E1323B">
              <w:rPr>
                <w:rFonts w:eastAsiaTheme="minorEastAsia" w:cs="Calibri"/>
                <w:sz w:val="19"/>
                <w:szCs w:val="19"/>
                <w:vertAlign w:val="superscript"/>
                <w:lang w:eastAsia="en-AU"/>
              </w:rPr>
              <w:t>(a)</w:t>
            </w:r>
          </w:p>
        </w:tc>
        <w:tc>
          <w:tcPr>
            <w:tcW w:w="885" w:type="dxa"/>
            <w:gridSpan w:val="2"/>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7 989.8</w:t>
            </w:r>
          </w:p>
        </w:tc>
        <w:tc>
          <w:tcPr>
            <w:tcW w:w="886"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593.2</w:t>
            </w:r>
          </w:p>
        </w:tc>
        <w:tc>
          <w:tcPr>
            <w:tcW w:w="885"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1 830.3</w:t>
            </w:r>
          </w:p>
        </w:tc>
        <w:tc>
          <w:tcPr>
            <w:tcW w:w="886"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560.4</w:t>
            </w:r>
          </w:p>
        </w:tc>
        <w:tc>
          <w:tcPr>
            <w:tcW w:w="885"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572.5</w:t>
            </w:r>
          </w:p>
        </w:tc>
        <w:tc>
          <w:tcPr>
            <w:tcW w:w="886" w:type="dxa"/>
            <w:tcBorders>
              <w:top w:val="nil"/>
              <w:left w:val="nil"/>
              <w:bottom w:val="nil"/>
              <w:right w:val="nil"/>
            </w:tcBorders>
            <w:shd w:val="clear" w:color="auto"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583.9</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movements in equity</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369.3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4.7</w:t>
            </w:r>
          </w:p>
        </w:tc>
        <w:tc>
          <w:tcPr>
            <w:tcW w:w="885" w:type="dxa"/>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sz w:val="19"/>
                <w:szCs w:val="19"/>
                <w:lang w:eastAsia="en-AU"/>
              </w:rPr>
              <w:t>( 25.6</w:t>
            </w:r>
            <w:r w:rsidRPr="00E1323B">
              <w:rPr>
                <w:rFonts w:eastAsiaTheme="minorEastAsia" w:cs="Calibri"/>
                <w:sz w:val="19"/>
                <w:szCs w:val="19"/>
                <w:lang w:eastAsia="en-AU"/>
              </w:rPr>
              <w:t>)</w:t>
            </w:r>
          </w:p>
        </w:tc>
        <w:tc>
          <w:tcPr>
            <w:tcW w:w="886" w:type="dxa"/>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sz w:val="19"/>
                <w:szCs w:val="19"/>
                <w:lang w:eastAsia="en-AU"/>
              </w:rPr>
              <w:t>( 401.8</w:t>
            </w:r>
            <w:r w:rsidRPr="00E1323B">
              <w:rPr>
                <w:rFonts w:eastAsiaTheme="minorEastAsia" w:cs="Calibri"/>
                <w:sz w:val="19"/>
                <w:szCs w:val="19"/>
                <w:lang w:eastAsia="en-AU"/>
              </w:rPr>
              <w:t>)</w:t>
            </w:r>
          </w:p>
        </w:tc>
        <w:tc>
          <w:tcPr>
            <w:tcW w:w="885" w:type="dxa"/>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sz w:val="19"/>
                <w:szCs w:val="19"/>
                <w:lang w:eastAsia="en-AU"/>
              </w:rPr>
              <w:t>( 104.4)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141.3</w:t>
            </w:r>
          </w:p>
        </w:tc>
      </w:tr>
    </w:tbl>
    <w:p w:rsidR="00F60B5F" w:rsidRDefault="00F60B5F">
      <w:r>
        <w:br w:type="page"/>
      </w:r>
    </w:p>
    <w:p w:rsidR="00F60B5F" w:rsidRDefault="00F60B5F" w:rsidP="002E09B7">
      <w:pPr>
        <w:pStyle w:val="Tableheading"/>
        <w:rPr>
          <w:i/>
        </w:rPr>
      </w:pPr>
      <w:r w:rsidRPr="00F27D04">
        <w:t>Table 6.20:</w:t>
      </w:r>
      <w:r w:rsidRPr="00F27D04">
        <w:tab/>
        <w:t>State of Victoria operating statement</w:t>
      </w:r>
      <w:r>
        <w:t xml:space="preserve"> </w:t>
      </w:r>
      <w:r>
        <w:rPr>
          <w:i/>
        </w:rPr>
        <w:t>(continued)</w:t>
      </w:r>
    </w:p>
    <w:p w:rsidR="00F60B5F" w:rsidRPr="002E09B7" w:rsidRDefault="00F60B5F" w:rsidP="002E09B7">
      <w:pPr>
        <w:pStyle w:val="million"/>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2447"/>
        <w:gridCol w:w="720"/>
        <w:gridCol w:w="165"/>
        <w:gridCol w:w="15"/>
        <w:gridCol w:w="871"/>
        <w:gridCol w:w="29"/>
        <w:gridCol w:w="810"/>
        <w:gridCol w:w="46"/>
        <w:gridCol w:w="854"/>
        <w:gridCol w:w="32"/>
        <w:gridCol w:w="868"/>
        <w:gridCol w:w="17"/>
        <w:gridCol w:w="886"/>
      </w:tblGrid>
      <w:tr w:rsidR="00F60B5F" w:rsidRPr="00E1323B" w:rsidTr="00C13386">
        <w:trPr>
          <w:cantSplit/>
          <w:tblHeader/>
        </w:trPr>
        <w:tc>
          <w:tcPr>
            <w:tcW w:w="2447" w:type="dxa"/>
            <w:tcBorders>
              <w:top w:val="single" w:sz="6" w:space="0" w:color="000000"/>
              <w:left w:val="single" w:sz="6" w:space="0" w:color="000000"/>
              <w:bottom w:val="nil"/>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gridSpan w:val="2"/>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2012</w:t>
            </w:r>
            <w:r>
              <w:rPr>
                <w:rFonts w:eastAsiaTheme="minorEastAsia"/>
                <w:iCs/>
                <w:color w:val="FFFFFF"/>
                <w:lang w:eastAsia="en-AU"/>
              </w:rPr>
              <w:noBreakHyphen/>
            </w:r>
            <w:r w:rsidRPr="00E1323B">
              <w:rPr>
                <w:rFonts w:eastAsiaTheme="minorEastAsia"/>
                <w:iCs/>
                <w:color w:val="FFFFFF"/>
                <w:lang w:eastAsia="en-AU"/>
              </w:rPr>
              <w:t>13</w:t>
            </w:r>
          </w:p>
        </w:tc>
        <w:tc>
          <w:tcPr>
            <w:tcW w:w="886" w:type="dxa"/>
            <w:gridSpan w:val="2"/>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85" w:type="dxa"/>
            <w:gridSpan w:val="3"/>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86" w:type="dxa"/>
            <w:gridSpan w:val="2"/>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2014</w:t>
            </w:r>
            <w:r>
              <w:rPr>
                <w:rFonts w:eastAsiaTheme="minorEastAsia"/>
                <w:iCs/>
                <w:color w:val="FFFFFF"/>
                <w:lang w:eastAsia="en-AU"/>
              </w:rPr>
              <w:noBreakHyphen/>
            </w:r>
            <w:r w:rsidRPr="00E1323B">
              <w:rPr>
                <w:rFonts w:eastAsiaTheme="minorEastAsia"/>
                <w:iCs/>
                <w:color w:val="FFFFFF"/>
                <w:lang w:eastAsia="en-AU"/>
              </w:rPr>
              <w:t>15</w:t>
            </w:r>
          </w:p>
        </w:tc>
        <w:tc>
          <w:tcPr>
            <w:tcW w:w="885" w:type="dxa"/>
            <w:gridSpan w:val="2"/>
            <w:tcBorders>
              <w:top w:val="single" w:sz="6" w:space="0" w:color="000000"/>
              <w:left w:val="nil"/>
              <w:bottom w:val="nil"/>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2015</w:t>
            </w:r>
            <w:r>
              <w:rPr>
                <w:rFonts w:eastAsiaTheme="minorEastAsia"/>
                <w:iCs/>
                <w:color w:val="FFFFFF"/>
                <w:lang w:eastAsia="en-AU"/>
              </w:rPr>
              <w:noBreakHyphen/>
            </w:r>
            <w:r w:rsidRPr="00E1323B">
              <w:rPr>
                <w:rFonts w:eastAsiaTheme="minorEastAsia"/>
                <w:iCs/>
                <w:color w:val="FFFFFF"/>
                <w:lang w:eastAsia="en-AU"/>
              </w:rPr>
              <w:t>16</w:t>
            </w:r>
          </w:p>
        </w:tc>
        <w:tc>
          <w:tcPr>
            <w:tcW w:w="886" w:type="dxa"/>
            <w:tcBorders>
              <w:top w:val="single" w:sz="6" w:space="0" w:color="000000"/>
              <w:left w:val="nil"/>
              <w:bottom w:val="nil"/>
              <w:right w:val="single" w:sz="6" w:space="0" w:color="000000"/>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2016</w:t>
            </w:r>
            <w:r>
              <w:rPr>
                <w:rFonts w:eastAsiaTheme="minorEastAsia"/>
                <w:iCs/>
                <w:color w:val="FFFFFF"/>
                <w:lang w:eastAsia="en-AU"/>
              </w:rPr>
              <w:noBreakHyphen/>
            </w:r>
            <w:r w:rsidRPr="00E1323B">
              <w:rPr>
                <w:rFonts w:eastAsiaTheme="minorEastAsia"/>
                <w:iCs/>
                <w:color w:val="FFFFFF"/>
                <w:lang w:eastAsia="en-AU"/>
              </w:rPr>
              <w:t>17</w:t>
            </w:r>
          </w:p>
        </w:tc>
      </w:tr>
      <w:tr w:rsidR="00F60B5F" w:rsidRPr="00E1323B" w:rsidTr="00C13386">
        <w:trPr>
          <w:cantSplit/>
          <w:tblHeader/>
        </w:trPr>
        <w:tc>
          <w:tcPr>
            <w:tcW w:w="2447" w:type="dxa"/>
            <w:tcBorders>
              <w:left w:val="single" w:sz="6" w:space="0" w:color="000000"/>
              <w:bottom w:val="single" w:sz="6" w:space="0" w:color="000000"/>
              <w:right w:val="nil"/>
            </w:tcBorders>
            <w:shd w:val="clear" w:color="000000" w:fill="000000"/>
          </w:tcPr>
          <w:p w:rsidR="00F60B5F" w:rsidRPr="00E1323B" w:rsidRDefault="00F60B5F" w:rsidP="00C13386">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gridSpan w:val="2"/>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Actual</w:t>
            </w:r>
          </w:p>
        </w:tc>
        <w:tc>
          <w:tcPr>
            <w:tcW w:w="886" w:type="dxa"/>
            <w:gridSpan w:val="2"/>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5" w:type="dxa"/>
            <w:gridSpan w:val="3"/>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Revised</w:t>
            </w:r>
          </w:p>
        </w:tc>
        <w:tc>
          <w:tcPr>
            <w:tcW w:w="886" w:type="dxa"/>
            <w:gridSpan w:val="2"/>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5" w:type="dxa"/>
            <w:gridSpan w:val="2"/>
            <w:tcBorders>
              <w:left w:val="nil"/>
              <w:bottom w:val="single" w:sz="6" w:space="0" w:color="000000"/>
              <w:right w:val="nil"/>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6" w:type="dxa"/>
            <w:tcBorders>
              <w:left w:val="nil"/>
              <w:bottom w:val="single" w:sz="6" w:space="0" w:color="000000"/>
              <w:right w:val="single" w:sz="6" w:space="0" w:color="000000"/>
            </w:tcBorders>
            <w:shd w:val="clear" w:color="000000" w:fill="000000"/>
          </w:tcPr>
          <w:p w:rsidR="00F60B5F" w:rsidRPr="00E1323B" w:rsidRDefault="00F60B5F" w:rsidP="00C13386">
            <w:pPr>
              <w:pStyle w:val="Tabletextheading"/>
              <w:rPr>
                <w:rFonts w:eastAsiaTheme="minorEastAsia"/>
                <w:iCs/>
                <w:color w:val="FFFFFF"/>
                <w:lang w:eastAsia="en-AU"/>
              </w:rPr>
            </w:pPr>
            <w:r w:rsidRPr="00E1323B">
              <w:rPr>
                <w:rFonts w:eastAsiaTheme="minorEastAsia"/>
                <w:iCs/>
                <w:color w:val="FFFFFF"/>
                <w:lang w:eastAsia="en-AU"/>
              </w:rPr>
              <w:t>Estimate</w:t>
            </w:r>
          </w:p>
        </w:tc>
      </w:tr>
      <w:tr w:rsidR="00F60B5F" w:rsidRPr="00E1323B" w:rsidTr="00596C71">
        <w:trPr>
          <w:cantSplit/>
        </w:trPr>
        <w:tc>
          <w:tcPr>
            <w:tcW w:w="3167" w:type="dxa"/>
            <w:gridSpan w:val="2"/>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Items that may be reclassified subsequently to net result</w:t>
            </w:r>
          </w:p>
        </w:tc>
        <w:tc>
          <w:tcPr>
            <w:tcW w:w="180" w:type="dxa"/>
            <w:gridSpan w:val="2"/>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b/>
                <w:sz w:val="19"/>
                <w:szCs w:val="19"/>
                <w:lang w:eastAsia="en-AU"/>
              </w:rPr>
              <w:t xml:space="preserve"> </w:t>
            </w:r>
          </w:p>
        </w:tc>
        <w:tc>
          <w:tcPr>
            <w:tcW w:w="900"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10"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900"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900"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903"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gain/(loss) on financial assets at fair value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84.0</w:t>
            </w:r>
          </w:p>
        </w:tc>
        <w:tc>
          <w:tcPr>
            <w:tcW w:w="886"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7.9</w:t>
            </w:r>
          </w:p>
        </w:tc>
        <w:tc>
          <w:tcPr>
            <w:tcW w:w="885" w:type="dxa"/>
            <w:gridSpan w:val="3"/>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24.4</w:t>
            </w:r>
          </w:p>
        </w:tc>
        <w:tc>
          <w:tcPr>
            <w:tcW w:w="886" w:type="dxa"/>
            <w:gridSpan w:val="2"/>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sz w:val="19"/>
                <w:szCs w:val="19"/>
                <w:lang w:eastAsia="en-AU"/>
              </w:rPr>
              <w:t>( 8.0)</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0.7</w:t>
            </w:r>
          </w:p>
        </w:tc>
      </w:tr>
      <w:tr w:rsidR="00F60B5F" w:rsidRPr="00E1323B" w:rsidTr="00596C71">
        <w:trPr>
          <w:cantSplit/>
        </w:trPr>
        <w:tc>
          <w:tcPr>
            <w:tcW w:w="2447"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Total other economic flows – other comprehensive income</w:t>
            </w:r>
          </w:p>
        </w:tc>
        <w:tc>
          <w:tcPr>
            <w:tcW w:w="885"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9 238.5</w:t>
            </w:r>
          </w:p>
        </w:tc>
        <w:tc>
          <w:tcPr>
            <w:tcW w:w="886"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6 380.4</w:t>
            </w:r>
          </w:p>
        </w:tc>
        <w:tc>
          <w:tcPr>
            <w:tcW w:w="885" w:type="dxa"/>
            <w:gridSpan w:val="3"/>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4 503.3</w:t>
            </w:r>
          </w:p>
        </w:tc>
        <w:tc>
          <w:tcPr>
            <w:tcW w:w="886"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7 314.7</w:t>
            </w:r>
          </w:p>
        </w:tc>
        <w:tc>
          <w:tcPr>
            <w:tcW w:w="885"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3 335.1</w:t>
            </w:r>
          </w:p>
        </w:tc>
        <w:tc>
          <w:tcPr>
            <w:tcW w:w="886"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2 422.9</w:t>
            </w:r>
          </w:p>
        </w:tc>
      </w:tr>
      <w:tr w:rsidR="00F60B5F" w:rsidRPr="00E1323B" w:rsidTr="00596C71">
        <w:trPr>
          <w:cantSplit/>
        </w:trPr>
        <w:tc>
          <w:tcPr>
            <w:tcW w:w="244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Comprehensive result – total change in net worth</w:t>
            </w:r>
          </w:p>
        </w:tc>
        <w:tc>
          <w:tcPr>
            <w:tcW w:w="885" w:type="dxa"/>
            <w:gridSpan w:val="2"/>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10 774.5</w:t>
            </w:r>
          </w:p>
        </w:tc>
        <w:tc>
          <w:tcPr>
            <w:tcW w:w="886" w:type="dxa"/>
            <w:gridSpan w:val="2"/>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5 997.2</w:t>
            </w:r>
          </w:p>
        </w:tc>
        <w:tc>
          <w:tcPr>
            <w:tcW w:w="885" w:type="dxa"/>
            <w:gridSpan w:val="3"/>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4 429.9</w:t>
            </w:r>
          </w:p>
        </w:tc>
        <w:tc>
          <w:tcPr>
            <w:tcW w:w="886" w:type="dxa"/>
            <w:gridSpan w:val="2"/>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7 963.9</w:t>
            </w:r>
          </w:p>
        </w:tc>
        <w:tc>
          <w:tcPr>
            <w:tcW w:w="885" w:type="dxa"/>
            <w:gridSpan w:val="2"/>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4 970.0</w:t>
            </w:r>
          </w:p>
        </w:tc>
        <w:tc>
          <w:tcPr>
            <w:tcW w:w="886"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4 679.9</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FISCAL AGGREGATES</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gridSpan w:val="3"/>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c>
          <w:tcPr>
            <w:tcW w:w="886" w:type="dxa"/>
            <w:tcBorders>
              <w:top w:val="nil"/>
              <w:left w:val="nil"/>
              <w:bottom w:val="nil"/>
              <w:right w:val="nil"/>
            </w:tcBorders>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 xml:space="preserve">   </w:t>
            </w:r>
          </w:p>
        </w:tc>
      </w:tr>
      <w:tr w:rsidR="00F60B5F" w:rsidRPr="00E1323B" w:rsidTr="00596C71">
        <w:trPr>
          <w:cantSplit/>
        </w:trPr>
        <w:tc>
          <w:tcPr>
            <w:tcW w:w="2447" w:type="dxa"/>
            <w:tcBorders>
              <w:top w:val="nil"/>
              <w:left w:val="nil"/>
              <w:bottom w:val="nil"/>
              <w:right w:val="nil"/>
            </w:tcBorders>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Net operating balance</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(3 119.8)</w:t>
            </w:r>
          </w:p>
        </w:tc>
        <w:tc>
          <w:tcPr>
            <w:tcW w:w="886"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(1 490.7)</w:t>
            </w:r>
          </w:p>
        </w:tc>
        <w:tc>
          <w:tcPr>
            <w:tcW w:w="885" w:type="dxa"/>
            <w:gridSpan w:val="3"/>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(1 418.6)</w:t>
            </w:r>
          </w:p>
        </w:tc>
        <w:tc>
          <w:tcPr>
            <w:tcW w:w="886" w:type="dxa"/>
            <w:gridSpan w:val="2"/>
            <w:tcBorders>
              <w:top w:val="nil"/>
              <w:left w:val="nil"/>
              <w:bottom w:val="nil"/>
              <w:right w:val="nil"/>
            </w:tcBorders>
          </w:tcPr>
          <w:p w:rsidR="00F60B5F" w:rsidRPr="00E1323B" w:rsidRDefault="00F60B5F" w:rsidP="00E1323B">
            <w:pPr>
              <w:pStyle w:val="TableofFigures"/>
              <w:rPr>
                <w:rFonts w:eastAsiaTheme="minorEastAsia" w:cs="Calibri"/>
                <w:sz w:val="19"/>
                <w:szCs w:val="19"/>
                <w:lang w:eastAsia="en-AU"/>
              </w:rPr>
            </w:pPr>
            <w:r w:rsidRPr="00E1323B">
              <w:rPr>
                <w:rFonts w:eastAsiaTheme="minorEastAsia"/>
                <w:b/>
                <w:sz w:val="19"/>
                <w:szCs w:val="19"/>
                <w:lang w:eastAsia="en-AU"/>
              </w:rPr>
              <w:t>( 647.7)</w:t>
            </w:r>
          </w:p>
        </w:tc>
        <w:tc>
          <w:tcPr>
            <w:tcW w:w="885"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300.6</w:t>
            </w:r>
          </w:p>
        </w:tc>
        <w:tc>
          <w:tcPr>
            <w:tcW w:w="88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834.9</w:t>
            </w:r>
          </w:p>
        </w:tc>
      </w:tr>
      <w:tr w:rsidR="00F60B5F" w:rsidRPr="00E1323B" w:rsidTr="00596C71">
        <w:trPr>
          <w:cantSplit/>
        </w:trPr>
        <w:tc>
          <w:tcPr>
            <w:tcW w:w="2447" w:type="dxa"/>
            <w:tcBorders>
              <w:top w:val="nil"/>
              <w:left w:val="nil"/>
              <w:bottom w:val="single" w:sz="6" w:space="0" w:color="auto"/>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Less: net acquisition of non</w:t>
            </w:r>
            <w:r>
              <w:rPr>
                <w:rFonts w:eastAsiaTheme="minorEastAsia"/>
                <w:sz w:val="19"/>
                <w:szCs w:val="19"/>
                <w:lang w:eastAsia="en-AU"/>
              </w:rPr>
              <w:noBreakHyphen/>
            </w:r>
            <w:r w:rsidRPr="00E1323B">
              <w:rPr>
                <w:rFonts w:eastAsiaTheme="minorEastAsia"/>
                <w:sz w:val="19"/>
                <w:szCs w:val="19"/>
                <w:lang w:eastAsia="en-AU"/>
              </w:rPr>
              <w:t>financial assets from transactions</w:t>
            </w:r>
          </w:p>
        </w:tc>
        <w:tc>
          <w:tcPr>
            <w:tcW w:w="885"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8 586.3</w:t>
            </w:r>
          </w:p>
        </w:tc>
        <w:tc>
          <w:tcPr>
            <w:tcW w:w="886"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3 807.7</w:t>
            </w:r>
          </w:p>
        </w:tc>
        <w:tc>
          <w:tcPr>
            <w:tcW w:w="885" w:type="dxa"/>
            <w:gridSpan w:val="3"/>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3 591.0</w:t>
            </w:r>
          </w:p>
        </w:tc>
        <w:tc>
          <w:tcPr>
            <w:tcW w:w="886"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3 141.3</w:t>
            </w:r>
          </w:p>
        </w:tc>
        <w:tc>
          <w:tcPr>
            <w:tcW w:w="885"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1 577.1</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972.3</w:t>
            </w:r>
          </w:p>
        </w:tc>
      </w:tr>
      <w:tr w:rsidR="00F60B5F" w:rsidRPr="00E1323B" w:rsidTr="00596C71">
        <w:trPr>
          <w:cantSplit/>
        </w:trPr>
        <w:tc>
          <w:tcPr>
            <w:tcW w:w="244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sz w:val="19"/>
                <w:szCs w:val="19"/>
                <w:lang w:eastAsia="en-AU"/>
              </w:rPr>
            </w:pPr>
            <w:r w:rsidRPr="00E1323B">
              <w:rPr>
                <w:rFonts w:eastAsiaTheme="minorEastAsia"/>
                <w:b/>
                <w:bCs/>
                <w:sz w:val="19"/>
                <w:szCs w:val="19"/>
                <w:lang w:eastAsia="en-AU"/>
              </w:rPr>
              <w:t>Net lending/(borrowing)</w:t>
            </w:r>
          </w:p>
        </w:tc>
        <w:tc>
          <w:tcPr>
            <w:tcW w:w="885" w:type="dxa"/>
            <w:gridSpan w:val="2"/>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(11 706.1)</w:t>
            </w:r>
          </w:p>
        </w:tc>
        <w:tc>
          <w:tcPr>
            <w:tcW w:w="886" w:type="dxa"/>
            <w:gridSpan w:val="2"/>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(5 298.4)</w:t>
            </w:r>
          </w:p>
        </w:tc>
        <w:tc>
          <w:tcPr>
            <w:tcW w:w="885" w:type="dxa"/>
            <w:gridSpan w:val="3"/>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(5 009.5)</w:t>
            </w:r>
          </w:p>
        </w:tc>
        <w:tc>
          <w:tcPr>
            <w:tcW w:w="886" w:type="dxa"/>
            <w:gridSpan w:val="2"/>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(3 789.0)</w:t>
            </w:r>
          </w:p>
        </w:tc>
        <w:tc>
          <w:tcPr>
            <w:tcW w:w="885" w:type="dxa"/>
            <w:gridSpan w:val="2"/>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sz w:val="19"/>
                <w:szCs w:val="19"/>
                <w:lang w:eastAsia="en-AU"/>
              </w:rPr>
            </w:pPr>
            <w:r w:rsidRPr="00E1323B">
              <w:rPr>
                <w:rFonts w:eastAsiaTheme="minorEastAsia"/>
                <w:b/>
                <w:bCs/>
                <w:sz w:val="19"/>
                <w:szCs w:val="19"/>
                <w:lang w:eastAsia="en-AU"/>
              </w:rPr>
              <w:t>(1 276.5)</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cs="Calibri"/>
                <w:b/>
                <w:bCs/>
                <w:sz w:val="19"/>
                <w:szCs w:val="19"/>
                <w:lang w:eastAsia="en-AU"/>
              </w:rPr>
            </w:pPr>
            <w:r w:rsidRPr="00E1323B">
              <w:rPr>
                <w:rFonts w:eastAsiaTheme="minorEastAsia"/>
                <w:b/>
                <w:bCs/>
                <w:sz w:val="19"/>
                <w:szCs w:val="19"/>
                <w:lang w:eastAsia="en-AU"/>
              </w:rPr>
              <w:t>( 137.4)</w:t>
            </w:r>
          </w:p>
        </w:tc>
      </w:tr>
    </w:tbl>
    <w:p w:rsidR="00F60B5F" w:rsidRDefault="00F60B5F" w:rsidP="00596C71">
      <w:pPr>
        <w:pStyle w:val="Source"/>
      </w:pPr>
      <w:r w:rsidRPr="00F27D04">
        <w:t>Source: Department of Treasury and Finance</w:t>
      </w:r>
    </w:p>
    <w:p w:rsidR="00F60B5F" w:rsidRPr="00F27D04" w:rsidRDefault="00F60B5F" w:rsidP="00AF1AA5">
      <w:pPr>
        <w:pStyle w:val="Notes"/>
      </w:pPr>
      <w:r w:rsidRPr="00F27D04">
        <w:t>Note:</w:t>
      </w:r>
    </w:p>
    <w:p w:rsidR="00F60B5F" w:rsidRPr="00F27D04" w:rsidRDefault="00F60B5F" w:rsidP="00AF1AA5">
      <w:pPr>
        <w:pStyle w:val="Notes"/>
      </w:pPr>
      <w:r w:rsidRPr="00F27D04">
        <w:t>(a)</w:t>
      </w:r>
      <w:r w:rsidRPr="00F27D04">
        <w:tab/>
        <w:t>The 2012</w:t>
      </w:r>
      <w:r>
        <w:noBreakHyphen/>
        <w:t>13 actual comparative figure has</w:t>
      </w:r>
      <w:r w:rsidRPr="00F27D04">
        <w:t xml:space="preserve"> been restated to reflect a revised accounting standard, </w:t>
      </w:r>
      <w:r w:rsidRPr="00F60B5F">
        <w:t>AASB 119</w:t>
      </w:r>
      <w:r w:rsidRPr="00F27D04">
        <w:t xml:space="preserve"> </w:t>
      </w:r>
      <w:r w:rsidRPr="00F27D04">
        <w:rPr>
          <w:i w:val="0"/>
        </w:rPr>
        <w:t>Employee Benefits</w:t>
      </w:r>
      <w:r w:rsidRPr="00F27D04">
        <w:t>, which has been issued changing the way defined benefit superannuation expenses are calculated from 2013</w:t>
      </w:r>
      <w:r>
        <w:noBreakHyphen/>
      </w:r>
      <w:r w:rsidRPr="00F27D04">
        <w:t>14.</w:t>
      </w:r>
    </w:p>
    <w:p w:rsidR="00F60B5F" w:rsidRPr="00F27D04" w:rsidRDefault="00F60B5F" w:rsidP="00BA2348"/>
    <w:p w:rsidR="00F60B5F" w:rsidRPr="00F27D04" w:rsidRDefault="00F60B5F" w:rsidP="00250CAA"/>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6.21:</w:t>
      </w:r>
      <w:r w:rsidRPr="00F27D04">
        <w:tab/>
        <w:t>State of Victoria balance sheet</w:t>
      </w:r>
    </w:p>
    <w:p w:rsidR="00F60B5F" w:rsidRPr="00E1323B" w:rsidRDefault="00F60B5F" w:rsidP="00E1323B">
      <w:pPr>
        <w:pStyle w:val="million"/>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219"/>
        <w:gridCol w:w="673"/>
        <w:gridCol w:w="892"/>
        <w:gridCol w:w="892"/>
        <w:gridCol w:w="892"/>
        <w:gridCol w:w="892"/>
        <w:gridCol w:w="892"/>
      </w:tblGrid>
      <w:tr w:rsidR="00F60B5F" w:rsidRPr="00E1323B" w:rsidTr="00E1323B">
        <w:tc>
          <w:tcPr>
            <w:tcW w:w="2408"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92" w:type="dxa"/>
            <w:gridSpan w:val="2"/>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2012</w:t>
            </w:r>
            <w:r>
              <w:rPr>
                <w:rFonts w:eastAsiaTheme="minorEastAsia"/>
                <w:iCs/>
                <w:color w:val="FFFFFF"/>
                <w:lang w:eastAsia="en-AU"/>
              </w:rPr>
              <w:noBreakHyphen/>
            </w:r>
            <w:r w:rsidRPr="00E1323B">
              <w:rPr>
                <w:rFonts w:eastAsiaTheme="minorEastAsia"/>
                <w:iCs/>
                <w:color w:val="FFFFFF"/>
                <w:lang w:eastAsia="en-AU"/>
              </w:rPr>
              <w:t>13</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2014</w:t>
            </w:r>
            <w:r>
              <w:rPr>
                <w:rFonts w:eastAsiaTheme="minorEastAsia"/>
                <w:iCs/>
                <w:color w:val="FFFFFF"/>
                <w:lang w:eastAsia="en-AU"/>
              </w:rPr>
              <w:noBreakHyphen/>
            </w:r>
            <w:r w:rsidRPr="00E1323B">
              <w:rPr>
                <w:rFonts w:eastAsiaTheme="minorEastAsia"/>
                <w:iCs/>
                <w:color w:val="FFFFFF"/>
                <w:lang w:eastAsia="en-AU"/>
              </w:rPr>
              <w:t>15</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2015</w:t>
            </w:r>
            <w:r>
              <w:rPr>
                <w:rFonts w:eastAsiaTheme="minorEastAsia"/>
                <w:iCs/>
                <w:color w:val="FFFFFF"/>
                <w:lang w:eastAsia="en-AU"/>
              </w:rPr>
              <w:noBreakHyphen/>
            </w:r>
            <w:r w:rsidRPr="00E1323B">
              <w:rPr>
                <w:rFonts w:eastAsiaTheme="minorEastAsia"/>
                <w:iCs/>
                <w:color w:val="FFFFFF"/>
                <w:lang w:eastAsia="en-AU"/>
              </w:rPr>
              <w:t>16</w:t>
            </w:r>
          </w:p>
        </w:tc>
        <w:tc>
          <w:tcPr>
            <w:tcW w:w="892"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2016</w:t>
            </w:r>
            <w:r>
              <w:rPr>
                <w:rFonts w:eastAsiaTheme="minorEastAsia"/>
                <w:iCs/>
                <w:color w:val="FFFFFF"/>
                <w:lang w:eastAsia="en-AU"/>
              </w:rPr>
              <w:noBreakHyphen/>
            </w:r>
            <w:r w:rsidRPr="00E1323B">
              <w:rPr>
                <w:rFonts w:eastAsiaTheme="minorEastAsia"/>
                <w:iCs/>
                <w:color w:val="FFFFFF"/>
                <w:lang w:eastAsia="en-AU"/>
              </w:rPr>
              <w:t>17</w:t>
            </w:r>
          </w:p>
        </w:tc>
      </w:tr>
      <w:tr w:rsidR="00F60B5F" w:rsidRPr="00E1323B" w:rsidTr="00E1323B">
        <w:tc>
          <w:tcPr>
            <w:tcW w:w="2408"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92" w:type="dxa"/>
            <w:gridSpan w:val="2"/>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Actual</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Budget</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Revised</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r>
      <w:tr w:rsidR="00F60B5F" w:rsidRPr="00E1323B" w:rsidTr="00E1323B">
        <w:tc>
          <w:tcPr>
            <w:tcW w:w="2408" w:type="dxa"/>
            <w:tcBorders>
              <w:top w:val="single" w:sz="6" w:space="0" w:color="000000"/>
              <w:left w:val="nil"/>
              <w:bottom w:val="nil"/>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Assets</w:t>
            </w:r>
          </w:p>
        </w:tc>
        <w:tc>
          <w:tcPr>
            <w:tcW w:w="892" w:type="dxa"/>
            <w:gridSpan w:val="2"/>
            <w:tcBorders>
              <w:top w:val="single" w:sz="6" w:space="0" w:color="000000"/>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Financial assets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Cash and deposits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6 252.9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6 804.6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6 200.2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6 678.8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7 214.3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7 796.7</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Receivables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7 871.9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7 837.4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7 199.3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7 175.3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7 074.7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7 162.4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Advances paid, investments, loans and placements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cs="Calibri"/>
                <w:color w:val="0000FF"/>
                <w:lang w:eastAsia="en-AU"/>
              </w:rPr>
            </w:pPr>
            <w:r w:rsidRPr="00E1323B">
              <w:rPr>
                <w:rFonts w:eastAsiaTheme="minorEastAsia"/>
                <w:sz w:val="18"/>
                <w:lang w:eastAsia="en-AU"/>
              </w:rPr>
              <w:t>27 695.7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28 770.3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29 145.7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30 528.0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30 220.6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31 936.7</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Investments accounted for using equity method</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1 666.1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1 666.1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1 666.1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1 666.1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1 666.1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1 666.1</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Total financial assets</w:t>
            </w:r>
          </w:p>
        </w:tc>
        <w:tc>
          <w:tcPr>
            <w:tcW w:w="892"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43 486.5</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45 078.4</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44 211.2</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46 048.1</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46 175.6</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48 561.8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Non</w:t>
            </w:r>
            <w:r>
              <w:rPr>
                <w:rFonts w:eastAsiaTheme="minorEastAsia"/>
                <w:b/>
                <w:bCs/>
                <w:sz w:val="18"/>
                <w:lang w:eastAsia="en-AU"/>
              </w:rPr>
              <w:noBreakHyphen/>
            </w:r>
            <w:r w:rsidRPr="00E1323B">
              <w:rPr>
                <w:rFonts w:eastAsiaTheme="minorEastAsia"/>
                <w:b/>
                <w:bCs/>
                <w:sz w:val="18"/>
                <w:lang w:eastAsia="en-AU"/>
              </w:rPr>
              <w:t>financial assets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8"/>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Inventories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871.0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859.3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832.7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701.5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611.8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536.7</w:t>
            </w:r>
          </w:p>
        </w:tc>
      </w:tr>
      <w:tr w:rsidR="00F60B5F" w:rsidRPr="00E1323B" w:rsidTr="00596C71">
        <w:tc>
          <w:tcPr>
            <w:tcW w:w="2627" w:type="dxa"/>
            <w:gridSpan w:val="2"/>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Non</w:t>
            </w:r>
            <w:r>
              <w:rPr>
                <w:rFonts w:eastAsiaTheme="minorEastAsia"/>
                <w:sz w:val="18"/>
                <w:lang w:eastAsia="en-AU"/>
              </w:rPr>
              <w:noBreakHyphen/>
            </w:r>
            <w:r w:rsidRPr="00E1323B">
              <w:rPr>
                <w:rFonts w:eastAsiaTheme="minorEastAsia"/>
                <w:sz w:val="18"/>
                <w:lang w:eastAsia="en-AU"/>
              </w:rPr>
              <w:t>financial assets held for sale</w:t>
            </w:r>
          </w:p>
        </w:tc>
        <w:tc>
          <w:tcPr>
            <w:tcW w:w="673"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173.0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166.1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107.2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100.6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93.9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87.3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Land, buildings, infrastructure, plant and equipment</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189 473.0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199 190.9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195 810.4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205 702.0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210 243.4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213 269.9</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Other non</w:t>
            </w:r>
            <w:r>
              <w:rPr>
                <w:rFonts w:eastAsiaTheme="minorEastAsia"/>
                <w:sz w:val="18"/>
                <w:lang w:eastAsia="en-AU"/>
              </w:rPr>
              <w:noBreakHyphen/>
            </w:r>
            <w:r w:rsidRPr="00E1323B">
              <w:rPr>
                <w:rFonts w:eastAsiaTheme="minorEastAsia"/>
                <w:sz w:val="18"/>
                <w:lang w:eastAsia="en-AU"/>
              </w:rPr>
              <w:t>financial assets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2 053.1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2 086.1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2 100.2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2 081.7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2 023.1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1 999.0</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Total non</w:t>
            </w:r>
            <w:r>
              <w:rPr>
                <w:rFonts w:eastAsiaTheme="minorEastAsia"/>
                <w:b/>
                <w:bCs/>
                <w:sz w:val="18"/>
                <w:lang w:eastAsia="en-AU"/>
              </w:rPr>
              <w:noBreakHyphen/>
            </w:r>
            <w:r w:rsidRPr="00E1323B">
              <w:rPr>
                <w:rFonts w:eastAsiaTheme="minorEastAsia"/>
                <w:b/>
                <w:bCs/>
                <w:sz w:val="18"/>
                <w:lang w:eastAsia="en-AU"/>
              </w:rPr>
              <w:t>financial assets</w:t>
            </w:r>
          </w:p>
        </w:tc>
        <w:tc>
          <w:tcPr>
            <w:tcW w:w="892"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192 570.0</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202 302.4</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198 850.5</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208 585.8</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212 972.3</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215 893.0</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Total assets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236 056.6</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247 380.8</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243 061.7</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254 633.8</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259 147.9</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264 454.9</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Liabilities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8"/>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Deposits held and advances received</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2 088.9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2 098.5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2 063.7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2 069.3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2 014.7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2 016.4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Payables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8 506.0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8 523.3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8 032.6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7 688.3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7 552.0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7 459.5</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 xml:space="preserve">Borrowings </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47 437.0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51 839.6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51 077.7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54 175.4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52 997.2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52 798.0</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Employee benefits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5 624.7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5 836.8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5 811.5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6 021.3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6 242.7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6 471.5</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Superannuation</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25 225.4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25 012.8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23 651.3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23 280.4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22 876.0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22 302.0</w:t>
            </w:r>
          </w:p>
        </w:tc>
      </w:tr>
      <w:tr w:rsidR="00F60B5F" w:rsidRPr="00E1323B" w:rsidTr="00E1323B">
        <w:tc>
          <w:tcPr>
            <w:tcW w:w="2408" w:type="dxa"/>
            <w:tcBorders>
              <w:top w:val="nil"/>
              <w:left w:val="nil"/>
              <w:bottom w:val="single" w:sz="6" w:space="0" w:color="auto"/>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Other provisions</w:t>
            </w:r>
          </w:p>
        </w:tc>
        <w:tc>
          <w:tcPr>
            <w:tcW w:w="892"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23 542.4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24 440.4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24 362.9</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25 373.1</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26 469.3</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27 731.9</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Total liabilities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112 424.5</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117 751.5</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114 999.7</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118 607.9</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118 152.0</w:t>
            </w:r>
          </w:p>
        </w:tc>
        <w:tc>
          <w:tcPr>
            <w:tcW w:w="892" w:type="dxa"/>
            <w:tcBorders>
              <w:top w:val="nil"/>
              <w:left w:val="nil"/>
              <w:bottom w:val="nil"/>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118 779.1</w:t>
            </w:r>
          </w:p>
        </w:tc>
      </w:tr>
      <w:tr w:rsidR="00F60B5F" w:rsidRPr="00E1323B" w:rsidTr="00E1323B">
        <w:tc>
          <w:tcPr>
            <w:tcW w:w="2408" w:type="dxa"/>
            <w:tcBorders>
              <w:top w:val="nil"/>
              <w:left w:val="nil"/>
              <w:bottom w:val="single" w:sz="12" w:space="0" w:color="auto"/>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Net assets</w:t>
            </w:r>
          </w:p>
        </w:tc>
        <w:tc>
          <w:tcPr>
            <w:tcW w:w="892" w:type="dxa"/>
            <w:gridSpan w:val="2"/>
            <w:tcBorders>
              <w:top w:val="nil"/>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123 632.1</w:t>
            </w:r>
          </w:p>
        </w:tc>
        <w:tc>
          <w:tcPr>
            <w:tcW w:w="892"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129 629.3</w:t>
            </w:r>
          </w:p>
        </w:tc>
        <w:tc>
          <w:tcPr>
            <w:tcW w:w="892"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128 062.0</w:t>
            </w:r>
          </w:p>
        </w:tc>
        <w:tc>
          <w:tcPr>
            <w:tcW w:w="892"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136 025.9</w:t>
            </w:r>
          </w:p>
        </w:tc>
        <w:tc>
          <w:tcPr>
            <w:tcW w:w="892"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140 995.9</w:t>
            </w:r>
          </w:p>
        </w:tc>
        <w:tc>
          <w:tcPr>
            <w:tcW w:w="892" w:type="dxa"/>
            <w:tcBorders>
              <w:top w:val="nil"/>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145 675.8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sz w:val="18"/>
                <w:lang w:eastAsia="en-AU"/>
              </w:rPr>
              <w:t xml:space="preserve">Accumulated surplus </w:t>
            </w:r>
            <w:r w:rsidRPr="00E1323B">
              <w:rPr>
                <w:rFonts w:eastAsiaTheme="minorEastAsia" w:cs="Calibri"/>
                <w:color w:val="000000"/>
                <w:vertAlign w:val="superscript"/>
                <w:lang w:eastAsia="en-AU"/>
              </w:rPr>
              <w:t>(a)</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43 616.3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45 551.9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45 802.0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46 570.7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48 615.5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51 540.3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sz w:val="18"/>
                <w:lang w:eastAsia="en-AU"/>
              </w:rPr>
              <w:t xml:space="preserve">Reserves </w:t>
            </w:r>
            <w:r w:rsidRPr="00E1323B">
              <w:rPr>
                <w:rFonts w:eastAsiaTheme="minorEastAsia" w:cs="Calibri"/>
                <w:color w:val="000000"/>
                <w:vertAlign w:val="superscript"/>
                <w:lang w:eastAsia="en-AU"/>
              </w:rPr>
              <w:t>(a)</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79 965.8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84 027.5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82 210.0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89 405.2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92 330.4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94 085.5</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Non</w:t>
            </w:r>
            <w:r>
              <w:rPr>
                <w:rFonts w:eastAsiaTheme="minorEastAsia"/>
                <w:sz w:val="18"/>
                <w:lang w:eastAsia="en-AU"/>
              </w:rPr>
              <w:noBreakHyphen/>
            </w:r>
            <w:r w:rsidRPr="00E1323B">
              <w:rPr>
                <w:rFonts w:eastAsiaTheme="minorEastAsia"/>
                <w:sz w:val="18"/>
                <w:lang w:eastAsia="en-AU"/>
              </w:rPr>
              <w:t>controlling interest</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50.0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50.0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50.0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50.0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50.0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 xml:space="preserve"> 50.0</w:t>
            </w:r>
          </w:p>
        </w:tc>
      </w:tr>
      <w:tr w:rsidR="00F60B5F" w:rsidRPr="00E1323B" w:rsidTr="00E1323B">
        <w:tc>
          <w:tcPr>
            <w:tcW w:w="240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Net worth</w:t>
            </w:r>
          </w:p>
        </w:tc>
        <w:tc>
          <w:tcPr>
            <w:tcW w:w="892" w:type="dxa"/>
            <w:gridSpan w:val="2"/>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123 632.1</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129 629.3</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128 062.0</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136 025.9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140 995.9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sz w:val="18"/>
                <w:lang w:eastAsia="en-AU"/>
              </w:rPr>
            </w:pPr>
            <w:r w:rsidRPr="00E1323B">
              <w:rPr>
                <w:rFonts w:eastAsiaTheme="minorEastAsia"/>
                <w:b/>
                <w:bCs/>
                <w:sz w:val="18"/>
                <w:lang w:eastAsia="en-AU"/>
              </w:rPr>
              <w:t>145 675.8</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bCs/>
                <w:sz w:val="18"/>
                <w:lang w:eastAsia="en-AU"/>
              </w:rPr>
            </w:pPr>
            <w:r w:rsidRPr="00E1323B">
              <w:rPr>
                <w:rFonts w:eastAsiaTheme="minorEastAsia"/>
                <w:b/>
                <w:bCs/>
                <w:sz w:val="18"/>
                <w:lang w:eastAsia="en-AU"/>
              </w:rPr>
              <w:t>FISCAL AGGREGATES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8"/>
                <w:lang w:eastAsia="en-AU"/>
              </w:rPr>
            </w:pP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8"/>
                <w:lang w:eastAsia="en-AU"/>
              </w:rPr>
            </w:pPr>
            <w:r w:rsidRPr="00E1323B">
              <w:rPr>
                <w:rFonts w:eastAsiaTheme="minorEastAsia"/>
                <w:b/>
                <w:sz w:val="18"/>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 xml:space="preserve">Net financial worth </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(68 937.9)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(72 673.1)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(70 788.5)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(72 559.8)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(71 976.4)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(70 217.2)</w:t>
            </w:r>
          </w:p>
        </w:tc>
      </w:tr>
      <w:tr w:rsidR="00F60B5F" w:rsidRPr="00E1323B" w:rsidTr="00E1323B">
        <w:tc>
          <w:tcPr>
            <w:tcW w:w="2408" w:type="dxa"/>
            <w:tcBorders>
              <w:top w:val="nil"/>
              <w:left w:val="nil"/>
              <w:right w:val="nil"/>
            </w:tcBorders>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Net financial liabilities</w:t>
            </w:r>
          </w:p>
        </w:tc>
        <w:tc>
          <w:tcPr>
            <w:tcW w:w="892" w:type="dxa"/>
            <w:gridSpan w:val="2"/>
            <w:tcBorders>
              <w:top w:val="nil"/>
              <w:left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68 937.9</w:t>
            </w:r>
          </w:p>
        </w:tc>
        <w:tc>
          <w:tcPr>
            <w:tcW w:w="892" w:type="dxa"/>
            <w:tcBorders>
              <w:top w:val="nil"/>
              <w:left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72 673.1</w:t>
            </w:r>
          </w:p>
        </w:tc>
        <w:tc>
          <w:tcPr>
            <w:tcW w:w="892" w:type="dxa"/>
            <w:tcBorders>
              <w:top w:val="nil"/>
              <w:left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70 788.5</w:t>
            </w:r>
          </w:p>
        </w:tc>
        <w:tc>
          <w:tcPr>
            <w:tcW w:w="892" w:type="dxa"/>
            <w:tcBorders>
              <w:top w:val="nil"/>
              <w:left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72 559.8</w:t>
            </w:r>
          </w:p>
        </w:tc>
        <w:tc>
          <w:tcPr>
            <w:tcW w:w="892" w:type="dxa"/>
            <w:tcBorders>
              <w:top w:val="nil"/>
              <w:left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71 976.4</w:t>
            </w:r>
          </w:p>
        </w:tc>
        <w:tc>
          <w:tcPr>
            <w:tcW w:w="892" w:type="dxa"/>
            <w:tcBorders>
              <w:top w:val="nil"/>
              <w:left w:val="nil"/>
              <w:right w:val="nil"/>
            </w:tcBorders>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70 217.2</w:t>
            </w:r>
          </w:p>
        </w:tc>
      </w:tr>
      <w:tr w:rsidR="00F60B5F" w:rsidRPr="00E1323B" w:rsidTr="00E1323B">
        <w:tc>
          <w:tcPr>
            <w:tcW w:w="2408" w:type="dxa"/>
            <w:tcBorders>
              <w:top w:val="nil"/>
              <w:left w:val="nil"/>
              <w:bottom w:val="single" w:sz="12" w:space="0" w:color="000000"/>
              <w:right w:val="nil"/>
            </w:tcBorders>
            <w:shd w:val="clear" w:color="auto" w:fill="auto"/>
          </w:tcPr>
          <w:p w:rsidR="00F60B5F" w:rsidRPr="00E1323B" w:rsidRDefault="00F60B5F" w:rsidP="00E1323B">
            <w:pPr>
              <w:pStyle w:val="Tabletext"/>
              <w:rPr>
                <w:rFonts w:eastAsiaTheme="minorEastAsia"/>
                <w:sz w:val="18"/>
                <w:lang w:eastAsia="en-AU"/>
              </w:rPr>
            </w:pPr>
            <w:r w:rsidRPr="00E1323B">
              <w:rPr>
                <w:rFonts w:eastAsiaTheme="minorEastAsia"/>
                <w:sz w:val="18"/>
                <w:lang w:eastAsia="en-AU"/>
              </w:rPr>
              <w:t>Net debt</w:t>
            </w:r>
          </w:p>
        </w:tc>
        <w:tc>
          <w:tcPr>
            <w:tcW w:w="892" w:type="dxa"/>
            <w:gridSpan w:val="2"/>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15 577.3</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18 363.2</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17 795.5</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19 037.9</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17 577.1</w:t>
            </w:r>
          </w:p>
        </w:tc>
        <w:tc>
          <w:tcPr>
            <w:tcW w:w="892" w:type="dxa"/>
            <w:tcBorders>
              <w:top w:val="nil"/>
              <w:left w:val="nil"/>
              <w:bottom w:val="single" w:sz="12" w:space="0" w:color="000000"/>
              <w:right w:val="nil"/>
            </w:tcBorders>
            <w:shd w:val="clear" w:color="auto" w:fill="auto"/>
          </w:tcPr>
          <w:p w:rsidR="00F60B5F" w:rsidRPr="00E1323B" w:rsidRDefault="00F60B5F" w:rsidP="00E1323B">
            <w:pPr>
              <w:pStyle w:val="TableofFigures"/>
              <w:rPr>
                <w:rFonts w:eastAsiaTheme="minorEastAsia"/>
                <w:sz w:val="18"/>
                <w:lang w:eastAsia="en-AU"/>
              </w:rPr>
            </w:pPr>
            <w:r w:rsidRPr="00E1323B">
              <w:rPr>
                <w:rFonts w:eastAsiaTheme="minorEastAsia"/>
                <w:sz w:val="18"/>
                <w:lang w:eastAsia="en-AU"/>
              </w:rPr>
              <w:t>15 081.0</w:t>
            </w:r>
          </w:p>
        </w:tc>
      </w:tr>
    </w:tbl>
    <w:p w:rsidR="00F60B5F" w:rsidRDefault="00F60B5F" w:rsidP="002028B9">
      <w:pPr>
        <w:pStyle w:val="Source"/>
      </w:pPr>
      <w:r w:rsidRPr="00F27D04">
        <w:t>Source: Department of Treasury and Finance</w:t>
      </w:r>
    </w:p>
    <w:p w:rsidR="00F60B5F" w:rsidRDefault="00F60B5F" w:rsidP="00D95A0F">
      <w:pPr>
        <w:pStyle w:val="Notes"/>
      </w:pPr>
      <w:r>
        <w:t>Note:</w:t>
      </w:r>
    </w:p>
    <w:p w:rsidR="00F60B5F" w:rsidRPr="00E01F92" w:rsidRDefault="00F60B5F" w:rsidP="00D95A0F">
      <w:pPr>
        <w:pStyle w:val="Notes"/>
      </w:pPr>
      <w:r w:rsidRPr="00F27D04">
        <w:t>(a)</w:t>
      </w:r>
      <w:r w:rsidRPr="00A40CA6">
        <w:tab/>
      </w:r>
      <w:r w:rsidRPr="00E01F92">
        <w:t>Impact is due to the correction of balances as at 30 June 2013 between deferred tax liability accounts.</w:t>
      </w:r>
    </w:p>
    <w:p w:rsidR="00F60B5F" w:rsidRPr="002028B9" w:rsidRDefault="00F60B5F" w:rsidP="002028B9"/>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6.22:</w:t>
      </w:r>
      <w:r w:rsidRPr="00F27D04">
        <w:tab/>
        <w:t>State of Victoria cash flow statement</w:t>
      </w:r>
    </w:p>
    <w:p w:rsidR="00F60B5F" w:rsidRPr="00E1323B" w:rsidRDefault="00F60B5F" w:rsidP="00E1323B">
      <w:pPr>
        <w:pStyle w:val="million"/>
        <w:rPr>
          <w:rFonts w:ascii="Times New Roman" w:hAnsi="Times New Roman"/>
          <w:i w:val="0"/>
          <w:sz w:val="20"/>
          <w:szCs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08"/>
        <w:gridCol w:w="586"/>
        <w:gridCol w:w="306"/>
        <w:gridCol w:w="892"/>
        <w:gridCol w:w="892"/>
        <w:gridCol w:w="892"/>
        <w:gridCol w:w="892"/>
        <w:gridCol w:w="892"/>
      </w:tblGrid>
      <w:tr w:rsidR="00F60B5F" w:rsidRPr="00E1323B" w:rsidTr="005C751E">
        <w:trPr>
          <w:tblHeader/>
        </w:trPr>
        <w:tc>
          <w:tcPr>
            <w:tcW w:w="2408"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92" w:type="dxa"/>
            <w:gridSpan w:val="2"/>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2012</w:t>
            </w:r>
            <w:r>
              <w:rPr>
                <w:rFonts w:eastAsiaTheme="minorEastAsia"/>
                <w:iCs/>
                <w:color w:val="FFFFFF"/>
                <w:lang w:eastAsia="en-AU"/>
              </w:rPr>
              <w:noBreakHyphen/>
            </w:r>
            <w:r w:rsidRPr="00E1323B">
              <w:rPr>
                <w:rFonts w:eastAsiaTheme="minorEastAsia"/>
                <w:iCs/>
                <w:color w:val="FFFFFF"/>
                <w:lang w:eastAsia="en-AU"/>
              </w:rPr>
              <w:t>13</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2014</w:t>
            </w:r>
            <w:r>
              <w:rPr>
                <w:rFonts w:eastAsiaTheme="minorEastAsia"/>
                <w:iCs/>
                <w:color w:val="FFFFFF"/>
                <w:lang w:eastAsia="en-AU"/>
              </w:rPr>
              <w:noBreakHyphen/>
            </w:r>
            <w:r w:rsidRPr="00E1323B">
              <w:rPr>
                <w:rFonts w:eastAsiaTheme="minorEastAsia"/>
                <w:iCs/>
                <w:color w:val="FFFFFF"/>
                <w:lang w:eastAsia="en-AU"/>
              </w:rPr>
              <w:t>15</w:t>
            </w:r>
          </w:p>
        </w:tc>
        <w:tc>
          <w:tcPr>
            <w:tcW w:w="892"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2015</w:t>
            </w:r>
            <w:r>
              <w:rPr>
                <w:rFonts w:eastAsiaTheme="minorEastAsia"/>
                <w:iCs/>
                <w:color w:val="FFFFFF"/>
                <w:lang w:eastAsia="en-AU"/>
              </w:rPr>
              <w:noBreakHyphen/>
            </w:r>
            <w:r w:rsidRPr="00E1323B">
              <w:rPr>
                <w:rFonts w:eastAsiaTheme="minorEastAsia"/>
                <w:iCs/>
                <w:color w:val="FFFFFF"/>
                <w:lang w:eastAsia="en-AU"/>
              </w:rPr>
              <w:t>16</w:t>
            </w:r>
          </w:p>
        </w:tc>
        <w:tc>
          <w:tcPr>
            <w:tcW w:w="892"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2016</w:t>
            </w:r>
            <w:r>
              <w:rPr>
                <w:rFonts w:eastAsiaTheme="minorEastAsia"/>
                <w:iCs/>
                <w:color w:val="FFFFFF"/>
                <w:lang w:eastAsia="en-AU"/>
              </w:rPr>
              <w:noBreakHyphen/>
            </w:r>
            <w:r w:rsidRPr="00E1323B">
              <w:rPr>
                <w:rFonts w:eastAsiaTheme="minorEastAsia"/>
                <w:iCs/>
                <w:color w:val="FFFFFF"/>
                <w:lang w:eastAsia="en-AU"/>
              </w:rPr>
              <w:t>17</w:t>
            </w:r>
          </w:p>
        </w:tc>
      </w:tr>
      <w:tr w:rsidR="00F60B5F" w:rsidRPr="00E1323B" w:rsidTr="005C751E">
        <w:trPr>
          <w:tblHeader/>
        </w:trPr>
        <w:tc>
          <w:tcPr>
            <w:tcW w:w="2408"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92" w:type="dxa"/>
            <w:gridSpan w:val="2"/>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Actual</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Budget</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Revised</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92"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r>
      <w:tr w:rsidR="00F60B5F" w:rsidRPr="00E1323B" w:rsidTr="00E1323B">
        <w:tc>
          <w:tcPr>
            <w:tcW w:w="2994" w:type="dxa"/>
            <w:gridSpan w:val="2"/>
            <w:tcBorders>
              <w:top w:val="single" w:sz="6" w:space="0" w:color="000000"/>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Cash flows from operating activities</w:t>
            </w:r>
          </w:p>
        </w:tc>
        <w:tc>
          <w:tcPr>
            <w:tcW w:w="306"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single" w:sz="6" w:space="0" w:color="000000"/>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Receipts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Taxes received</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14 872.0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16 032.0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16 106.6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17 149.0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17 906.0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18 831.5</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Grants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21 899.6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23 182.0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23 093.7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24 159.6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24 762.6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26 060.2</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vertAlign w:val="superscript"/>
                <w:lang w:eastAsia="en-AU"/>
              </w:rPr>
            </w:pPr>
            <w:r w:rsidRPr="00E1323B">
              <w:rPr>
                <w:rFonts w:eastAsiaTheme="minorEastAsia"/>
                <w:sz w:val="19"/>
                <w:szCs w:val="19"/>
                <w:lang w:eastAsia="en-AU"/>
              </w:rPr>
              <w:t xml:space="preserve">Sales of goods and services </w:t>
            </w:r>
            <w:r w:rsidRPr="00E1323B">
              <w:rPr>
                <w:rFonts w:eastAsiaTheme="minorEastAsia"/>
                <w:sz w:val="19"/>
                <w:szCs w:val="19"/>
                <w:vertAlign w:val="superscript"/>
                <w:lang w:eastAsia="en-AU"/>
              </w:rPr>
              <w:t>(a)</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13 548.2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15 969.6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15 829.6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15 963.0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16 452.0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16 698.4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Interest</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1 203.0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912.1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911.6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951.8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1 013.8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934.2</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Dividends and rate equivalents receipts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450.6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520.6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588.3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621.2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656.0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695.6</w:t>
            </w:r>
          </w:p>
        </w:tc>
      </w:tr>
      <w:tr w:rsidR="00F60B5F" w:rsidRPr="00E1323B" w:rsidTr="00E1323B">
        <w:tc>
          <w:tcPr>
            <w:tcW w:w="2408" w:type="dxa"/>
            <w:tcBorders>
              <w:top w:val="nil"/>
              <w:left w:val="nil"/>
              <w:bottom w:val="single" w:sz="6" w:space="0" w:color="auto"/>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receipts</w:t>
            </w:r>
          </w:p>
        </w:tc>
        <w:tc>
          <w:tcPr>
            <w:tcW w:w="892"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1 882.2</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2 007.4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1 986.7</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1 889.5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1 981.4</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1 974.3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Total receipts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53 855.6</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58 623.7</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58 516.4</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60 734.1</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62 772.0</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65 194.1</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Payments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Payments for employees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(18 551.6)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(18 739.1)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(18 629.1)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(19 286.2)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(20 017.5)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(20 645.9)</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Superannuation</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(2 652.5)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(2 761.3)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(2 752.9)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(2 793.6)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(2 837.3)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(2 999.9)</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Interest paid</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(2 384.2)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(2 997.0)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(2 860.1)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(3 081.8)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(3 121.7)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(3 187.0)</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Grants and subsidies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(5 619.5)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(5 384.4)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(5 123.2)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(5 424.7)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(5 621.0)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(5 970.3)</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vertAlign w:val="superscript"/>
                <w:lang w:eastAsia="en-AU"/>
              </w:rPr>
            </w:pPr>
            <w:r w:rsidRPr="00E1323B">
              <w:rPr>
                <w:rFonts w:eastAsiaTheme="minorEastAsia"/>
                <w:sz w:val="19"/>
                <w:szCs w:val="19"/>
                <w:lang w:eastAsia="en-AU"/>
              </w:rPr>
              <w:t xml:space="preserve">Goods and services </w:t>
            </w:r>
            <w:r w:rsidRPr="00E1323B">
              <w:rPr>
                <w:rFonts w:eastAsiaTheme="minorEastAsia"/>
                <w:sz w:val="19"/>
                <w:szCs w:val="19"/>
                <w:vertAlign w:val="superscript"/>
                <w:lang w:eastAsia="en-AU"/>
              </w:rPr>
              <w:t>(a)</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(21 399.7)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(23 682.3)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(24 292.6)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(24 088.0)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(23 744.8)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(24 230.2)</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Other payments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( 596.0)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( 627.9)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( 633.0)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( 671.2)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( 698.8)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( 728.7)</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Total payments</w:t>
            </w:r>
          </w:p>
        </w:tc>
        <w:tc>
          <w:tcPr>
            <w:tcW w:w="892"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(51 203.4)</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(54 192.0)</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(54 290.9)</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(55 345.7)</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(56 041.2)</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(57 762.0)</w:t>
            </w:r>
          </w:p>
        </w:tc>
      </w:tr>
      <w:tr w:rsidR="00F60B5F" w:rsidRPr="00E1323B" w:rsidTr="00E1323B">
        <w:tc>
          <w:tcPr>
            <w:tcW w:w="2408" w:type="dxa"/>
            <w:tcBorders>
              <w:top w:val="single" w:sz="6" w:space="0" w:color="auto"/>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Net cash flows from operating activities</w:t>
            </w:r>
          </w:p>
        </w:tc>
        <w:tc>
          <w:tcPr>
            <w:tcW w:w="892" w:type="dxa"/>
            <w:gridSpan w:val="2"/>
            <w:tcBorders>
              <w:top w:val="single" w:sz="6" w:space="0" w:color="auto"/>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2 652.2</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4 431.7</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4 225.5</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5 388.4</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6 730.8</w:t>
            </w:r>
          </w:p>
        </w:tc>
        <w:tc>
          <w:tcPr>
            <w:tcW w:w="892" w:type="dxa"/>
            <w:tcBorders>
              <w:top w:val="single" w:sz="6" w:space="0" w:color="auto"/>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7 432.1</w:t>
            </w:r>
          </w:p>
        </w:tc>
      </w:tr>
      <w:tr w:rsidR="00F60B5F" w:rsidRPr="00E1323B" w:rsidTr="00E1323B">
        <w:tc>
          <w:tcPr>
            <w:tcW w:w="2994" w:type="dxa"/>
            <w:gridSpan w:val="2"/>
            <w:tcBorders>
              <w:top w:val="nil"/>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Cash flows from investing activities</w:t>
            </w:r>
          </w:p>
        </w:tc>
        <w:tc>
          <w:tcPr>
            <w:tcW w:w="30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Purchases of non</w:t>
            </w:r>
            <w:r>
              <w:rPr>
                <w:rFonts w:eastAsiaTheme="minorEastAsia"/>
                <w:sz w:val="19"/>
                <w:szCs w:val="19"/>
                <w:lang w:eastAsia="en-AU"/>
              </w:rPr>
              <w:noBreakHyphen/>
            </w:r>
            <w:r w:rsidRPr="00E1323B">
              <w:rPr>
                <w:rFonts w:eastAsiaTheme="minorEastAsia"/>
                <w:sz w:val="19"/>
                <w:szCs w:val="19"/>
                <w:lang w:eastAsia="en-AU"/>
              </w:rPr>
              <w:t>financial assets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(7 597.8)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(8 638.1)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(8 180.2)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(8 043.6)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(5 748.1)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(6 203.4)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Sales of non</w:t>
            </w:r>
            <w:r>
              <w:rPr>
                <w:rFonts w:eastAsiaTheme="minorEastAsia"/>
                <w:sz w:val="19"/>
                <w:szCs w:val="19"/>
                <w:lang w:eastAsia="en-AU"/>
              </w:rPr>
              <w:noBreakHyphen/>
            </w:r>
            <w:r w:rsidRPr="00E1323B">
              <w:rPr>
                <w:rFonts w:eastAsiaTheme="minorEastAsia"/>
                <w:sz w:val="19"/>
                <w:szCs w:val="19"/>
                <w:lang w:eastAsia="en-AU"/>
              </w:rPr>
              <w:t>financial assets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406.3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527.5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526.1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536.4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574.1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519.1</w:t>
            </w:r>
          </w:p>
        </w:tc>
      </w:tr>
      <w:tr w:rsidR="00F60B5F" w:rsidRPr="00E1323B" w:rsidTr="00E1323B">
        <w:tc>
          <w:tcPr>
            <w:tcW w:w="2408" w:type="dxa"/>
            <w:tcBorders>
              <w:top w:val="single" w:sz="6" w:space="0" w:color="auto"/>
              <w:left w:val="nil"/>
              <w:bottom w:val="nil"/>
              <w:right w:val="nil"/>
            </w:tcBorders>
          </w:tcPr>
          <w:p w:rsidR="00F60B5F" w:rsidRPr="005E192D" w:rsidRDefault="00F60B5F" w:rsidP="00E1323B">
            <w:pPr>
              <w:pStyle w:val="Tabletext"/>
              <w:rPr>
                <w:rFonts w:eastAsiaTheme="minorEastAsia"/>
                <w:sz w:val="19"/>
                <w:szCs w:val="19"/>
                <w:lang w:eastAsia="en-AU"/>
              </w:rPr>
            </w:pPr>
            <w:r w:rsidRPr="005E192D">
              <w:rPr>
                <w:rFonts w:eastAsiaTheme="minorEastAsia"/>
                <w:sz w:val="19"/>
                <w:szCs w:val="19"/>
                <w:lang w:eastAsia="en-AU"/>
              </w:rPr>
              <w:t>Cash flows from investments in non</w:t>
            </w:r>
            <w:r>
              <w:rPr>
                <w:rFonts w:eastAsiaTheme="minorEastAsia"/>
                <w:sz w:val="19"/>
                <w:szCs w:val="19"/>
                <w:lang w:eastAsia="en-AU"/>
              </w:rPr>
              <w:noBreakHyphen/>
            </w:r>
            <w:r w:rsidRPr="005E192D">
              <w:rPr>
                <w:rFonts w:eastAsiaTheme="minorEastAsia"/>
                <w:sz w:val="19"/>
                <w:szCs w:val="19"/>
                <w:lang w:eastAsia="en-AU"/>
              </w:rPr>
              <w:t>financial assets</w:t>
            </w:r>
          </w:p>
        </w:tc>
        <w:tc>
          <w:tcPr>
            <w:tcW w:w="892" w:type="dxa"/>
            <w:gridSpan w:val="2"/>
            <w:tcBorders>
              <w:top w:val="single" w:sz="6" w:space="0" w:color="auto"/>
              <w:left w:val="nil"/>
              <w:bottom w:val="nil"/>
              <w:right w:val="nil"/>
            </w:tcBorders>
          </w:tcPr>
          <w:p w:rsidR="00F60B5F" w:rsidRPr="005E192D" w:rsidRDefault="00F60B5F" w:rsidP="00E1323B">
            <w:pPr>
              <w:pStyle w:val="TableofFigures"/>
              <w:rPr>
                <w:rFonts w:eastAsiaTheme="minorEastAsia"/>
                <w:sz w:val="19"/>
                <w:szCs w:val="19"/>
                <w:lang w:eastAsia="en-AU"/>
              </w:rPr>
            </w:pPr>
            <w:r w:rsidRPr="005E192D">
              <w:rPr>
                <w:rFonts w:eastAsiaTheme="minorEastAsia"/>
                <w:sz w:val="19"/>
                <w:szCs w:val="19"/>
                <w:lang w:eastAsia="en-AU"/>
              </w:rPr>
              <w:t>(7 191.5)</w:t>
            </w:r>
          </w:p>
        </w:tc>
        <w:tc>
          <w:tcPr>
            <w:tcW w:w="892" w:type="dxa"/>
            <w:tcBorders>
              <w:top w:val="single" w:sz="6" w:space="0" w:color="auto"/>
              <w:left w:val="nil"/>
              <w:bottom w:val="nil"/>
              <w:right w:val="nil"/>
            </w:tcBorders>
          </w:tcPr>
          <w:p w:rsidR="00F60B5F" w:rsidRPr="005E192D" w:rsidRDefault="00F60B5F" w:rsidP="00E1323B">
            <w:pPr>
              <w:pStyle w:val="TableofFigures"/>
              <w:rPr>
                <w:rFonts w:eastAsiaTheme="minorEastAsia"/>
                <w:sz w:val="19"/>
                <w:szCs w:val="19"/>
                <w:lang w:eastAsia="en-AU"/>
              </w:rPr>
            </w:pPr>
            <w:r w:rsidRPr="005E192D">
              <w:rPr>
                <w:rFonts w:eastAsiaTheme="minorEastAsia"/>
                <w:sz w:val="19"/>
                <w:szCs w:val="19"/>
                <w:lang w:eastAsia="en-AU"/>
              </w:rPr>
              <w:t>(8 110.6)</w:t>
            </w:r>
          </w:p>
        </w:tc>
        <w:tc>
          <w:tcPr>
            <w:tcW w:w="892" w:type="dxa"/>
            <w:tcBorders>
              <w:top w:val="single" w:sz="6" w:space="0" w:color="auto"/>
              <w:left w:val="nil"/>
              <w:bottom w:val="nil"/>
              <w:right w:val="nil"/>
            </w:tcBorders>
          </w:tcPr>
          <w:p w:rsidR="00F60B5F" w:rsidRPr="005E192D" w:rsidRDefault="00F60B5F" w:rsidP="00E1323B">
            <w:pPr>
              <w:pStyle w:val="TableofFigures"/>
              <w:rPr>
                <w:rFonts w:eastAsiaTheme="minorEastAsia"/>
                <w:sz w:val="19"/>
                <w:szCs w:val="19"/>
                <w:lang w:eastAsia="en-AU"/>
              </w:rPr>
            </w:pPr>
            <w:r w:rsidRPr="005E192D">
              <w:rPr>
                <w:rFonts w:eastAsiaTheme="minorEastAsia"/>
                <w:sz w:val="19"/>
                <w:szCs w:val="19"/>
                <w:lang w:eastAsia="en-AU"/>
              </w:rPr>
              <w:t>(7 654.1)</w:t>
            </w:r>
          </w:p>
        </w:tc>
        <w:tc>
          <w:tcPr>
            <w:tcW w:w="892" w:type="dxa"/>
            <w:tcBorders>
              <w:top w:val="single" w:sz="6" w:space="0" w:color="auto"/>
              <w:left w:val="nil"/>
              <w:bottom w:val="nil"/>
              <w:right w:val="nil"/>
            </w:tcBorders>
          </w:tcPr>
          <w:p w:rsidR="00F60B5F" w:rsidRPr="005E192D" w:rsidRDefault="00F60B5F" w:rsidP="00E1323B">
            <w:pPr>
              <w:pStyle w:val="TableofFigures"/>
              <w:rPr>
                <w:rFonts w:eastAsiaTheme="minorEastAsia"/>
                <w:sz w:val="19"/>
                <w:szCs w:val="19"/>
                <w:lang w:eastAsia="en-AU"/>
              </w:rPr>
            </w:pPr>
            <w:r w:rsidRPr="005E192D">
              <w:rPr>
                <w:rFonts w:eastAsiaTheme="minorEastAsia"/>
                <w:sz w:val="19"/>
                <w:szCs w:val="19"/>
                <w:lang w:eastAsia="en-AU"/>
              </w:rPr>
              <w:t>(7 507.2)</w:t>
            </w:r>
          </w:p>
        </w:tc>
        <w:tc>
          <w:tcPr>
            <w:tcW w:w="892" w:type="dxa"/>
            <w:tcBorders>
              <w:top w:val="single" w:sz="6" w:space="0" w:color="auto"/>
              <w:left w:val="nil"/>
              <w:bottom w:val="nil"/>
              <w:right w:val="nil"/>
            </w:tcBorders>
          </w:tcPr>
          <w:p w:rsidR="00F60B5F" w:rsidRPr="005E192D" w:rsidRDefault="00F60B5F" w:rsidP="00E1323B">
            <w:pPr>
              <w:pStyle w:val="TableofFigures"/>
              <w:rPr>
                <w:rFonts w:eastAsiaTheme="minorEastAsia"/>
                <w:sz w:val="19"/>
                <w:szCs w:val="19"/>
                <w:lang w:eastAsia="en-AU"/>
              </w:rPr>
            </w:pPr>
            <w:r w:rsidRPr="005E192D">
              <w:rPr>
                <w:rFonts w:eastAsiaTheme="minorEastAsia"/>
                <w:sz w:val="19"/>
                <w:szCs w:val="19"/>
                <w:lang w:eastAsia="en-AU"/>
              </w:rPr>
              <w:t>(5 174.0)</w:t>
            </w:r>
          </w:p>
        </w:tc>
        <w:tc>
          <w:tcPr>
            <w:tcW w:w="892" w:type="dxa"/>
            <w:tcBorders>
              <w:top w:val="single" w:sz="6" w:space="0" w:color="auto"/>
              <w:left w:val="nil"/>
              <w:bottom w:val="nil"/>
              <w:right w:val="nil"/>
            </w:tcBorders>
          </w:tcPr>
          <w:p w:rsidR="00F60B5F" w:rsidRPr="005E192D" w:rsidRDefault="00F60B5F" w:rsidP="00E1323B">
            <w:pPr>
              <w:pStyle w:val="TableofFigures"/>
              <w:rPr>
                <w:rFonts w:eastAsiaTheme="minorEastAsia"/>
                <w:sz w:val="19"/>
                <w:szCs w:val="19"/>
                <w:lang w:eastAsia="en-AU"/>
              </w:rPr>
            </w:pPr>
            <w:r w:rsidRPr="005E192D">
              <w:rPr>
                <w:rFonts w:eastAsiaTheme="minorEastAsia"/>
                <w:sz w:val="19"/>
                <w:szCs w:val="19"/>
                <w:lang w:eastAsia="en-AU"/>
              </w:rPr>
              <w:t>(5 684.3)</w:t>
            </w:r>
          </w:p>
        </w:tc>
      </w:tr>
      <w:tr w:rsidR="00F60B5F" w:rsidRPr="00262698"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cash flows from investments in financial assets for policy purposes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262.6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( 105.5)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( 45.2)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( 109.7)</w:t>
            </w:r>
          </w:p>
        </w:tc>
        <w:tc>
          <w:tcPr>
            <w:tcW w:w="892" w:type="dxa"/>
            <w:tcBorders>
              <w:top w:val="nil"/>
              <w:left w:val="nil"/>
              <w:bottom w:val="nil"/>
              <w:right w:val="nil"/>
            </w:tcBorders>
          </w:tcPr>
          <w:p w:rsidR="00F60B5F" w:rsidRPr="00262698" w:rsidRDefault="00F60B5F" w:rsidP="00E1323B">
            <w:pPr>
              <w:pStyle w:val="TableofFigures"/>
              <w:rPr>
                <w:rFonts w:eastAsiaTheme="minorEastAsia"/>
                <w:sz w:val="19"/>
                <w:szCs w:val="19"/>
                <w:lang w:eastAsia="en-AU"/>
              </w:rPr>
            </w:pPr>
            <w:r w:rsidRPr="00262698">
              <w:rPr>
                <w:rFonts w:eastAsiaTheme="minorEastAsia"/>
                <w:sz w:val="19"/>
                <w:szCs w:val="19"/>
                <w:lang w:eastAsia="en-AU"/>
              </w:rPr>
              <w:t>( 131.1)</w:t>
            </w:r>
          </w:p>
        </w:tc>
        <w:tc>
          <w:tcPr>
            <w:tcW w:w="892" w:type="dxa"/>
            <w:tcBorders>
              <w:top w:val="nil"/>
              <w:left w:val="nil"/>
              <w:bottom w:val="nil"/>
              <w:right w:val="nil"/>
            </w:tcBorders>
          </w:tcPr>
          <w:p w:rsidR="00F60B5F" w:rsidRPr="00262698" w:rsidRDefault="00F60B5F" w:rsidP="00E1323B">
            <w:pPr>
              <w:pStyle w:val="TableofFigures"/>
              <w:rPr>
                <w:rFonts w:eastAsiaTheme="minorEastAsia" w:cs="Calibri"/>
                <w:lang w:eastAsia="en-AU"/>
              </w:rPr>
            </w:pPr>
            <w:r w:rsidRPr="00262698">
              <w:rPr>
                <w:rFonts w:eastAsiaTheme="minorEastAsia"/>
                <w:sz w:val="19"/>
                <w:szCs w:val="19"/>
                <w:lang w:eastAsia="en-AU"/>
              </w:rPr>
              <w:t>( 9.6</w:t>
            </w:r>
            <w:r w:rsidRPr="00262698">
              <w:rPr>
                <w:rFonts w:eastAsiaTheme="minorEastAsia" w:cs="Calibri"/>
                <w:lang w:eastAsia="en-AU"/>
              </w:rPr>
              <w:t>)</w:t>
            </w:r>
          </w:p>
        </w:tc>
      </w:tr>
      <w:tr w:rsidR="00F60B5F" w:rsidRPr="00E1323B" w:rsidTr="00E1323B">
        <w:tc>
          <w:tcPr>
            <w:tcW w:w="2408" w:type="dxa"/>
            <w:tcBorders>
              <w:top w:val="nil"/>
              <w:left w:val="nil"/>
              <w:bottom w:val="single" w:sz="6" w:space="0" w:color="auto"/>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cash flows from investments in financial assets for liquidity management purposes</w:t>
            </w:r>
          </w:p>
        </w:tc>
        <w:tc>
          <w:tcPr>
            <w:tcW w:w="892"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520.5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( 47.6)</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( 640.5)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( 380.5)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( 571.7)</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( 703.4)</w:t>
            </w:r>
          </w:p>
        </w:tc>
      </w:tr>
      <w:tr w:rsidR="00F60B5F" w:rsidRPr="00E1323B" w:rsidTr="00E1323B">
        <w:tc>
          <w:tcPr>
            <w:tcW w:w="2408" w:type="dxa"/>
            <w:tcBorders>
              <w:top w:val="single" w:sz="6" w:space="0" w:color="auto"/>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Net cash flows from investing activities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(6 408.4)</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(8 263.7)</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(8 339.8)</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(7 997.4)</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(5 876.8)</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(6 397.3)</w:t>
            </w:r>
          </w:p>
        </w:tc>
      </w:tr>
      <w:tr w:rsidR="00F60B5F" w:rsidRPr="00E1323B" w:rsidTr="00E1323B">
        <w:tc>
          <w:tcPr>
            <w:tcW w:w="2994" w:type="dxa"/>
            <w:gridSpan w:val="2"/>
            <w:tcBorders>
              <w:top w:val="nil"/>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Cash flows from financing activities</w:t>
            </w:r>
          </w:p>
        </w:tc>
        <w:tc>
          <w:tcPr>
            <w:tcW w:w="306"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Advances received (net)</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294.8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0.9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( 12.1)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0.2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0.1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0.4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borrowings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2 981.8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4 372.3</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4 084.5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3 082.0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( 327.0)</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( 454.1)</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Deposits received (net)</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676.8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( 13.1)</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5.4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8.4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 xml:space="preserve"> 1.2</w:t>
            </w:r>
          </w:p>
        </w:tc>
      </w:tr>
      <w:tr w:rsidR="00F60B5F" w:rsidRPr="00E1323B" w:rsidTr="00E1323B">
        <w:tc>
          <w:tcPr>
            <w:tcW w:w="240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Net cash flows from financing activities</w:t>
            </w:r>
          </w:p>
        </w:tc>
        <w:tc>
          <w:tcPr>
            <w:tcW w:w="892" w:type="dxa"/>
            <w:gridSpan w:val="2"/>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3 953.4</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4 381.9</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4 059.3</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3 087.9</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( 318.4)</w:t>
            </w:r>
          </w:p>
        </w:tc>
        <w:tc>
          <w:tcPr>
            <w:tcW w:w="892"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( 452.5)</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Net increase/(decrease) in cash and cash equivalents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197.2</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549.8</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( 55.0)</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478.9</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535.5</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582.4</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pageBreakBefore/>
              <w:ind w:left="181" w:hanging="181"/>
              <w:rPr>
                <w:rFonts w:eastAsiaTheme="minorEastAsia"/>
                <w:sz w:val="19"/>
                <w:szCs w:val="19"/>
                <w:lang w:eastAsia="en-AU"/>
              </w:rPr>
            </w:pPr>
            <w:r w:rsidRPr="00E1323B">
              <w:rPr>
                <w:rFonts w:eastAsiaTheme="minorEastAsia"/>
                <w:sz w:val="19"/>
                <w:szCs w:val="19"/>
                <w:lang w:eastAsia="en-AU"/>
              </w:rPr>
              <w:t>Cash and cash equivalents at beginning of reporting period</w:t>
            </w:r>
          </w:p>
        </w:tc>
        <w:tc>
          <w:tcPr>
            <w:tcW w:w="892" w:type="dxa"/>
            <w:gridSpan w:val="2"/>
            <w:tcBorders>
              <w:top w:val="nil"/>
              <w:left w:val="nil"/>
              <w:bottom w:val="nil"/>
              <w:right w:val="nil"/>
            </w:tcBorders>
            <w:shd w:val="solid" w:color="FFFFFF" w:fill="auto"/>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6 055.6</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6 252.9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6 252.9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6 197.9</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6 676.8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7 212.3</w:t>
            </w:r>
          </w:p>
        </w:tc>
      </w:tr>
      <w:tr w:rsidR="00F60B5F" w:rsidRPr="00E1323B" w:rsidTr="00E1323B">
        <w:tc>
          <w:tcPr>
            <w:tcW w:w="2408"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sz w:val="19"/>
                <w:szCs w:val="19"/>
                <w:vertAlign w:val="superscript"/>
                <w:lang w:eastAsia="en-AU"/>
              </w:rPr>
            </w:pPr>
            <w:r w:rsidRPr="00E1323B">
              <w:rPr>
                <w:rFonts w:eastAsiaTheme="minorEastAsia"/>
                <w:b/>
                <w:sz w:val="19"/>
                <w:szCs w:val="19"/>
                <w:lang w:eastAsia="en-AU"/>
              </w:rPr>
              <w:t xml:space="preserve">Cash and cash equivalents at end of reporting period </w:t>
            </w:r>
            <w:r w:rsidRPr="00E1323B">
              <w:rPr>
                <w:rFonts w:eastAsiaTheme="minorEastAsia"/>
                <w:b/>
                <w:sz w:val="19"/>
                <w:szCs w:val="19"/>
                <w:vertAlign w:val="superscript"/>
                <w:lang w:eastAsia="en-AU"/>
              </w:rPr>
              <w:t>(b)</w:t>
            </w:r>
          </w:p>
        </w:tc>
        <w:tc>
          <w:tcPr>
            <w:tcW w:w="892" w:type="dxa"/>
            <w:gridSpan w:val="2"/>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6 252.9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6 802.7</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6 197.9</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6 676.8</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7 212.3</w:t>
            </w:r>
          </w:p>
        </w:tc>
        <w:tc>
          <w:tcPr>
            <w:tcW w:w="892"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7 794.6</w:t>
            </w:r>
          </w:p>
        </w:tc>
      </w:tr>
      <w:tr w:rsidR="00F60B5F" w:rsidRPr="00E1323B" w:rsidTr="00E1323B">
        <w:trPr>
          <w:trHeight w:hRule="exact" w:val="120"/>
        </w:trPr>
        <w:tc>
          <w:tcPr>
            <w:tcW w:w="2408" w:type="dxa"/>
            <w:tcBorders>
              <w:top w:val="nil"/>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 xml:space="preserve"> </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FISCAL AGGREGATES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c>
          <w:tcPr>
            <w:tcW w:w="892" w:type="dxa"/>
            <w:tcBorders>
              <w:top w:val="nil"/>
              <w:left w:val="nil"/>
              <w:bottom w:val="nil"/>
              <w:right w:val="nil"/>
            </w:tcBorders>
          </w:tcPr>
          <w:p w:rsidR="00F60B5F" w:rsidRPr="00E1323B" w:rsidRDefault="00F60B5F" w:rsidP="00E1323B">
            <w:pPr>
              <w:pStyle w:val="TableofFigures"/>
              <w:rPr>
                <w:rFonts w:ascii="Arial" w:eastAsiaTheme="minorEastAsia" w:hAnsi="Arial" w:cs="Arial"/>
                <w:b/>
                <w:sz w:val="19"/>
                <w:szCs w:val="19"/>
                <w:lang w:eastAsia="en-AU"/>
              </w:rPr>
            </w:pPr>
            <w:r w:rsidRPr="00E1323B">
              <w:rPr>
                <w:rFonts w:ascii="Arial" w:eastAsiaTheme="minorEastAsia" w:hAnsi="Arial" w:cs="Arial"/>
                <w:b/>
                <w:sz w:val="19"/>
                <w:szCs w:val="19"/>
                <w:lang w:eastAsia="en-AU"/>
              </w:rPr>
              <w:t xml:space="preserve"> </w:t>
            </w:r>
          </w:p>
        </w:tc>
      </w:tr>
      <w:tr w:rsidR="00F60B5F" w:rsidRPr="00E1323B" w:rsidTr="00E1323B">
        <w:tc>
          <w:tcPr>
            <w:tcW w:w="2408" w:type="dxa"/>
            <w:tcBorders>
              <w:top w:val="nil"/>
              <w:left w:val="nil"/>
              <w:bottom w:val="nil"/>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cash flows from operating activities</w:t>
            </w:r>
          </w:p>
        </w:tc>
        <w:tc>
          <w:tcPr>
            <w:tcW w:w="892" w:type="dxa"/>
            <w:gridSpan w:val="2"/>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2 652.2</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4 431.7</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4 225.5</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5 388.4</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6 730.8</w:t>
            </w:r>
          </w:p>
        </w:tc>
        <w:tc>
          <w:tcPr>
            <w:tcW w:w="892" w:type="dxa"/>
            <w:tcBorders>
              <w:top w:val="nil"/>
              <w:left w:val="nil"/>
              <w:bottom w:val="nil"/>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7 432.1</w:t>
            </w:r>
          </w:p>
        </w:tc>
      </w:tr>
      <w:tr w:rsidR="00F60B5F" w:rsidRPr="00E1323B" w:rsidTr="00E1323B">
        <w:tc>
          <w:tcPr>
            <w:tcW w:w="2408" w:type="dxa"/>
            <w:tcBorders>
              <w:top w:val="nil"/>
              <w:left w:val="nil"/>
              <w:bottom w:val="single" w:sz="6" w:space="0" w:color="auto"/>
              <w:right w:val="nil"/>
            </w:tcBorders>
          </w:tcPr>
          <w:p w:rsidR="00F60B5F" w:rsidRPr="00E1323B" w:rsidRDefault="00F60B5F" w:rsidP="00E1323B">
            <w:pPr>
              <w:pStyle w:val="Tabletext"/>
              <w:rPr>
                <w:rFonts w:eastAsiaTheme="minorEastAsia"/>
                <w:sz w:val="19"/>
                <w:szCs w:val="19"/>
                <w:lang w:eastAsia="en-AU"/>
              </w:rPr>
            </w:pPr>
            <w:r w:rsidRPr="00E1323B">
              <w:rPr>
                <w:rFonts w:eastAsiaTheme="minorEastAsia"/>
                <w:sz w:val="19"/>
                <w:szCs w:val="19"/>
                <w:lang w:eastAsia="en-AU"/>
              </w:rPr>
              <w:t>Net cash flows from investments in non</w:t>
            </w:r>
            <w:r>
              <w:rPr>
                <w:rFonts w:eastAsiaTheme="minorEastAsia"/>
                <w:sz w:val="19"/>
                <w:szCs w:val="19"/>
                <w:lang w:eastAsia="en-AU"/>
              </w:rPr>
              <w:noBreakHyphen/>
            </w:r>
            <w:r w:rsidRPr="00E1323B">
              <w:rPr>
                <w:rFonts w:eastAsiaTheme="minorEastAsia"/>
                <w:sz w:val="19"/>
                <w:szCs w:val="19"/>
                <w:lang w:eastAsia="en-AU"/>
              </w:rPr>
              <w:t>financial assets</w:t>
            </w:r>
          </w:p>
        </w:tc>
        <w:tc>
          <w:tcPr>
            <w:tcW w:w="892" w:type="dxa"/>
            <w:gridSpan w:val="2"/>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(7 191.5)</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(8 110.6)</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(7 654.1)</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(7 507.2)</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(5 174.0)</w:t>
            </w:r>
          </w:p>
        </w:tc>
        <w:tc>
          <w:tcPr>
            <w:tcW w:w="892"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szCs w:val="19"/>
                <w:lang w:eastAsia="en-AU"/>
              </w:rPr>
            </w:pPr>
            <w:r w:rsidRPr="00E1323B">
              <w:rPr>
                <w:rFonts w:eastAsiaTheme="minorEastAsia"/>
                <w:sz w:val="19"/>
                <w:szCs w:val="19"/>
                <w:lang w:eastAsia="en-AU"/>
              </w:rPr>
              <w:t>(5 684.3)</w:t>
            </w:r>
          </w:p>
        </w:tc>
      </w:tr>
      <w:tr w:rsidR="00F60B5F" w:rsidRPr="00E1323B" w:rsidTr="00E1323B">
        <w:tc>
          <w:tcPr>
            <w:tcW w:w="2408"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sz w:val="19"/>
                <w:szCs w:val="19"/>
                <w:lang w:eastAsia="en-AU"/>
              </w:rPr>
            </w:pPr>
            <w:r w:rsidRPr="00E1323B">
              <w:rPr>
                <w:rFonts w:eastAsiaTheme="minorEastAsia"/>
                <w:b/>
                <w:sz w:val="19"/>
                <w:szCs w:val="19"/>
                <w:lang w:eastAsia="en-AU"/>
              </w:rPr>
              <w:t>Cash surplus/(deficit)</w:t>
            </w:r>
          </w:p>
        </w:tc>
        <w:tc>
          <w:tcPr>
            <w:tcW w:w="892" w:type="dxa"/>
            <w:gridSpan w:val="2"/>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(4 539.3)</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(3 678.9)</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(3 428.5)</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(2 118.8)</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1 556.8</w:t>
            </w:r>
          </w:p>
        </w:tc>
        <w:tc>
          <w:tcPr>
            <w:tcW w:w="892"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szCs w:val="19"/>
                <w:lang w:eastAsia="en-AU"/>
              </w:rPr>
            </w:pPr>
            <w:r w:rsidRPr="00E1323B">
              <w:rPr>
                <w:rFonts w:eastAsiaTheme="minorEastAsia"/>
                <w:b/>
                <w:sz w:val="19"/>
                <w:szCs w:val="19"/>
                <w:lang w:eastAsia="en-AU"/>
              </w:rPr>
              <w:t>1 747.8</w:t>
            </w:r>
          </w:p>
        </w:tc>
      </w:tr>
    </w:tbl>
    <w:p w:rsidR="00F60B5F" w:rsidRPr="00F27D04" w:rsidRDefault="00F60B5F" w:rsidP="00D62613">
      <w:pPr>
        <w:pStyle w:val="Source"/>
      </w:pPr>
      <w:r w:rsidRPr="00F27D04">
        <w:t>Source: Department of Treasury and Finance</w:t>
      </w:r>
    </w:p>
    <w:p w:rsidR="00F60B5F" w:rsidRPr="00F27D04" w:rsidRDefault="00F60B5F" w:rsidP="0027566E">
      <w:pPr>
        <w:pStyle w:val="Notes"/>
      </w:pPr>
      <w:r w:rsidRPr="00F27D04">
        <w:t>Notes:</w:t>
      </w:r>
    </w:p>
    <w:p w:rsidR="00F60B5F" w:rsidRPr="00F27D04" w:rsidRDefault="00F60B5F" w:rsidP="0027566E">
      <w:pPr>
        <w:pStyle w:val="Notes"/>
      </w:pPr>
      <w:r w:rsidRPr="00F27D04">
        <w:t xml:space="preserve">(a) </w:t>
      </w:r>
      <w:r w:rsidRPr="00F27D04">
        <w:tab/>
        <w:t>These items are inclusive of goods and services tax.</w:t>
      </w:r>
    </w:p>
    <w:p w:rsidR="00F60B5F" w:rsidRPr="00F27D04" w:rsidRDefault="00F60B5F" w:rsidP="0027566E">
      <w:pPr>
        <w:pStyle w:val="Notes"/>
      </w:pPr>
      <w:r w:rsidRPr="00F27D04">
        <w:t xml:space="preserve">(b) </w:t>
      </w:r>
      <w:r w:rsidRPr="00F27D04">
        <w:tab/>
        <w:t xml:space="preserve">Cash and cash equivalents at the end of </w:t>
      </w:r>
      <w:r>
        <w:t xml:space="preserve">the </w:t>
      </w:r>
      <w:r w:rsidRPr="00F27D04">
        <w:t>reporting period does not equal to cash and deposit on the balance sheet. This is due to overdraft being included  on the cash flow statement.</w:t>
      </w:r>
    </w:p>
    <w:p w:rsidR="00F60B5F" w:rsidRPr="00F27D04" w:rsidRDefault="00F60B5F" w:rsidP="0027566E">
      <w:pPr>
        <w:pStyle w:val="Notes"/>
      </w:pPr>
    </w:p>
    <w:p w:rsidR="00F60B5F" w:rsidRPr="00F27D04" w:rsidRDefault="00F60B5F" w:rsidP="0027566E">
      <w:pPr>
        <w:pStyle w:val="Notes"/>
      </w:pPr>
    </w:p>
    <w:p w:rsidR="00F60B5F" w:rsidRPr="00F27D04" w:rsidRDefault="00F60B5F">
      <w:pPr>
        <w:spacing w:after="0"/>
        <w:rPr>
          <w:rFonts w:ascii="Calibri" w:hAnsi="Calibri"/>
          <w:b/>
        </w:rPr>
      </w:pPr>
      <w:r w:rsidRPr="00F27D04">
        <w:br w:type="page"/>
      </w:r>
    </w:p>
    <w:p w:rsidR="00F60B5F" w:rsidRPr="00F27D04" w:rsidRDefault="00F60B5F" w:rsidP="00250CAA">
      <w:pPr>
        <w:pStyle w:val="Tableheading"/>
      </w:pPr>
      <w:r w:rsidRPr="00F27D04">
        <w:t>Table 6.23:</w:t>
      </w:r>
      <w:r w:rsidRPr="00F27D04">
        <w:tab/>
        <w:t>State of Victoria statement of changes in equity</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4800"/>
        <w:gridCol w:w="1663"/>
        <w:gridCol w:w="1297"/>
      </w:tblGrid>
      <w:tr w:rsidR="00F60B5F" w:rsidRPr="00E1323B" w:rsidTr="00E1323B">
        <w:tc>
          <w:tcPr>
            <w:tcW w:w="4157" w:type="dxa"/>
            <w:tcBorders>
              <w:top w:val="single" w:sz="6" w:space="0" w:color="000000"/>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State of Victoria</w:t>
            </w:r>
          </w:p>
        </w:tc>
        <w:tc>
          <w:tcPr>
            <w:tcW w:w="1440"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Accumulated surplus/(deficit)</w:t>
            </w:r>
          </w:p>
        </w:tc>
        <w:tc>
          <w:tcPr>
            <w:tcW w:w="1123" w:type="dxa"/>
            <w:tcBorders>
              <w:top w:val="single" w:sz="6" w:space="0" w:color="000000"/>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s="Calibri"/>
                <w:iCs/>
                <w:color w:val="FFFFFF"/>
                <w:lang w:eastAsia="en-AU"/>
              </w:rPr>
            </w:pPr>
            <w:r w:rsidRPr="00E1323B">
              <w:rPr>
                <w:rFonts w:eastAsiaTheme="minorEastAsia"/>
                <w:color w:val="FFFFFF"/>
                <w:lang w:eastAsia="en-AU"/>
              </w:rPr>
              <w:t>Non</w:t>
            </w:r>
            <w:r>
              <w:rPr>
                <w:rFonts w:eastAsiaTheme="minorEastAsia"/>
                <w:color w:val="FFFFFF"/>
                <w:lang w:eastAsia="en-AU"/>
              </w:rPr>
              <w:noBreakHyphen/>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controlling </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interest</w:t>
            </w:r>
          </w:p>
        </w:tc>
      </w:tr>
      <w:tr w:rsidR="00F60B5F" w:rsidRPr="00E1323B" w:rsidTr="00E1323B">
        <w:tc>
          <w:tcPr>
            <w:tcW w:w="4157" w:type="dxa"/>
            <w:tcBorders>
              <w:top w:val="single" w:sz="6" w:space="0" w:color="000000"/>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2012</w:t>
            </w:r>
            <w:r>
              <w:rPr>
                <w:rFonts w:eastAsiaTheme="minorEastAsia"/>
                <w:b/>
                <w:bCs/>
                <w:lang w:eastAsia="en-AU"/>
              </w:rPr>
              <w:noBreakHyphen/>
            </w:r>
            <w:r w:rsidRPr="00E1323B">
              <w:rPr>
                <w:rFonts w:eastAsiaTheme="minorEastAsia"/>
                <w:b/>
                <w:bCs/>
                <w:lang w:eastAsia="en-AU"/>
              </w:rPr>
              <w:t>13 Actual</w:t>
            </w:r>
          </w:p>
        </w:tc>
        <w:tc>
          <w:tcPr>
            <w:tcW w:w="144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123"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lang w:eastAsia="en-AU"/>
              </w:rPr>
              <w:t xml:space="preserve">Balance at 1 July 2012 </w:t>
            </w:r>
            <w:r w:rsidRPr="00E1323B">
              <w:rPr>
                <w:rFonts w:eastAsiaTheme="minorEastAsia" w:cs="Calibri"/>
                <w:color w:val="000000"/>
                <w:vertAlign w:val="superscript"/>
                <w:lang w:eastAsia="en-AU"/>
              </w:rPr>
              <w:t>(a)</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32 875.3</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1 536.0</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lang w:eastAsia="en-AU"/>
              </w:rPr>
              <w:t xml:space="preserve">Other comprehensive income for the year </w:t>
            </w:r>
            <w:r w:rsidRPr="00E1323B">
              <w:rPr>
                <w:rFonts w:eastAsiaTheme="minorEastAsia" w:cs="Calibri"/>
                <w:color w:val="000000"/>
                <w:vertAlign w:val="superscript"/>
                <w:lang w:eastAsia="en-AU"/>
              </w:rPr>
              <w:t>(a)</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9 205.0</w:t>
            </w:r>
          </w:p>
        </w:tc>
        <w:tc>
          <w:tcPr>
            <w:tcW w:w="1123"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w:t>
            </w:r>
            <w:r w:rsidRPr="00E1323B">
              <w:rPr>
                <w:rFonts w:eastAsiaTheme="minorEastAsia" w:cs="Calibri"/>
                <w:lang w:eastAsia="en-AU"/>
              </w:rPr>
              <w:t>.</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Transactions with owners in their capacity as owners</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44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43 616.3</w:t>
            </w:r>
          </w:p>
        </w:tc>
        <w:tc>
          <w:tcPr>
            <w:tcW w:w="112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2013</w:t>
            </w:r>
            <w:r>
              <w:rPr>
                <w:rFonts w:eastAsiaTheme="minorEastAsia"/>
                <w:b/>
                <w:bCs/>
                <w:lang w:eastAsia="en-AU"/>
              </w:rPr>
              <w:noBreakHyphen/>
            </w:r>
            <w:r w:rsidRPr="00E1323B">
              <w:rPr>
                <w:rFonts w:eastAsiaTheme="minorEastAsia"/>
                <w:b/>
                <w:bCs/>
                <w:lang w:eastAsia="en-AU"/>
              </w:rPr>
              <w:t>14 Budget</w:t>
            </w:r>
          </w:p>
        </w:tc>
        <w:tc>
          <w:tcPr>
            <w:tcW w:w="144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12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lang w:eastAsia="en-AU"/>
              </w:rPr>
              <w:t xml:space="preserve">Balance at 1 July 2013 </w:t>
            </w:r>
            <w:r w:rsidRPr="00E1323B">
              <w:rPr>
                <w:rFonts w:eastAsiaTheme="minorEastAsia" w:cs="Calibri"/>
                <w:color w:val="000000"/>
                <w:vertAlign w:val="superscript"/>
                <w:lang w:eastAsia="en-AU"/>
              </w:rPr>
              <w:t>(a)</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43 616.3</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44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( 383.1)</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cs="Calibri"/>
                <w:color w:val="000000"/>
                <w:vertAlign w:val="superscript"/>
                <w:lang w:eastAsia="en-AU"/>
              </w:rPr>
            </w:pPr>
            <w:r w:rsidRPr="00E1323B">
              <w:rPr>
                <w:rFonts w:eastAsiaTheme="minorEastAsia"/>
                <w:lang w:eastAsia="en-AU"/>
              </w:rPr>
              <w:t xml:space="preserve">Other comprehensive income for the year </w:t>
            </w:r>
            <w:r w:rsidRPr="00E1323B">
              <w:rPr>
                <w:rFonts w:eastAsiaTheme="minorEastAsia" w:cs="Calibri"/>
                <w:color w:val="000000"/>
                <w:vertAlign w:val="superscript"/>
                <w:lang w:eastAsia="en-AU"/>
              </w:rPr>
              <w:t>(a)</w:t>
            </w:r>
          </w:p>
        </w:tc>
        <w:tc>
          <w:tcPr>
            <w:tcW w:w="144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2 318.7</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Transactions with owners in their capacity as owners</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r>
      <w:tr w:rsidR="00F60B5F" w:rsidRPr="00E1323B" w:rsidTr="00E1323B">
        <w:tc>
          <w:tcPr>
            <w:tcW w:w="41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44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45 551.9</w:t>
            </w:r>
          </w:p>
        </w:tc>
        <w:tc>
          <w:tcPr>
            <w:tcW w:w="112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2013</w:t>
            </w:r>
            <w:r>
              <w:rPr>
                <w:rFonts w:eastAsiaTheme="minorEastAsia"/>
                <w:b/>
                <w:bCs/>
                <w:lang w:eastAsia="en-AU"/>
              </w:rPr>
              <w:noBreakHyphen/>
            </w:r>
            <w:r w:rsidRPr="00E1323B">
              <w:rPr>
                <w:rFonts w:eastAsiaTheme="minorEastAsia"/>
                <w:b/>
                <w:bCs/>
                <w:lang w:eastAsia="en-AU"/>
              </w:rPr>
              <w:t>14 Revised</w:t>
            </w:r>
          </w:p>
        </w:tc>
        <w:tc>
          <w:tcPr>
            <w:tcW w:w="144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12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Balance at 1 July 2013</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43 616.3</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44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( 73.4)</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cs="Calibri"/>
                <w:color w:val="000000"/>
                <w:lang w:eastAsia="en-AU"/>
              </w:rPr>
            </w:pPr>
            <w:r w:rsidRPr="00E1323B">
              <w:rPr>
                <w:rFonts w:eastAsiaTheme="minorEastAsia"/>
                <w:lang w:eastAsia="en-AU"/>
              </w:rPr>
              <w:t xml:space="preserve">Other comprehensive income for the year </w:t>
            </w:r>
          </w:p>
        </w:tc>
        <w:tc>
          <w:tcPr>
            <w:tcW w:w="144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2 259.1</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44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45 802.0</w:t>
            </w:r>
          </w:p>
        </w:tc>
        <w:tc>
          <w:tcPr>
            <w:tcW w:w="112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2014</w:t>
            </w:r>
            <w:r>
              <w:rPr>
                <w:rFonts w:eastAsiaTheme="minorEastAsia"/>
                <w:b/>
                <w:bCs/>
                <w:lang w:eastAsia="en-AU"/>
              </w:rPr>
              <w:noBreakHyphen/>
            </w:r>
            <w:r w:rsidRPr="00E1323B">
              <w:rPr>
                <w:rFonts w:eastAsiaTheme="minorEastAsia"/>
                <w:b/>
                <w:bCs/>
                <w:lang w:eastAsia="en-AU"/>
              </w:rPr>
              <w:t>15 Estimate</w:t>
            </w:r>
          </w:p>
        </w:tc>
        <w:tc>
          <w:tcPr>
            <w:tcW w:w="144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12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Balance at 1 July 2014</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45 802.0</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649.2</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Other comprehensive income for the year</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119.6</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44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46 570.7</w:t>
            </w:r>
          </w:p>
        </w:tc>
        <w:tc>
          <w:tcPr>
            <w:tcW w:w="112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2015</w:t>
            </w:r>
            <w:r>
              <w:rPr>
                <w:rFonts w:eastAsiaTheme="minorEastAsia"/>
                <w:b/>
                <w:bCs/>
                <w:lang w:eastAsia="en-AU"/>
              </w:rPr>
              <w:noBreakHyphen/>
            </w:r>
            <w:r w:rsidRPr="00E1323B">
              <w:rPr>
                <w:rFonts w:eastAsiaTheme="minorEastAsia"/>
                <w:b/>
                <w:bCs/>
                <w:lang w:eastAsia="en-AU"/>
              </w:rPr>
              <w:t>16 Estimate</w:t>
            </w:r>
          </w:p>
        </w:tc>
        <w:tc>
          <w:tcPr>
            <w:tcW w:w="144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12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Balance at 1 July 2015</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46 570.7</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1 634.8</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Other comprehensive income for the year</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410.0</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single" w:sz="6" w:space="0" w:color="auto"/>
              <w:left w:val="nil"/>
              <w:bottom w:val="single" w:sz="12"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44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48 615.5</w:t>
            </w:r>
          </w:p>
        </w:tc>
        <w:tc>
          <w:tcPr>
            <w:tcW w:w="1123"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2016</w:t>
            </w:r>
            <w:r>
              <w:rPr>
                <w:rFonts w:eastAsiaTheme="minorEastAsia"/>
                <w:b/>
                <w:bCs/>
                <w:lang w:eastAsia="en-AU"/>
              </w:rPr>
              <w:noBreakHyphen/>
            </w:r>
            <w:r w:rsidRPr="00E1323B">
              <w:rPr>
                <w:rFonts w:eastAsiaTheme="minorEastAsia"/>
                <w:b/>
                <w:bCs/>
                <w:lang w:eastAsia="en-AU"/>
              </w:rPr>
              <w:t>17 Estimate</w:t>
            </w:r>
          </w:p>
        </w:tc>
        <w:tc>
          <w:tcPr>
            <w:tcW w:w="144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1123"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Balance at 1 July 2016</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48 615.5</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50.0</w:t>
            </w:r>
          </w:p>
        </w:tc>
      </w:tr>
      <w:tr w:rsidR="00F60B5F" w:rsidRPr="00E1323B" w:rsidTr="00E1323B">
        <w:tc>
          <w:tcPr>
            <w:tcW w:w="4157"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Net result</w:t>
            </w:r>
          </w:p>
        </w:tc>
        <w:tc>
          <w:tcPr>
            <w:tcW w:w="144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2 257.0</w:t>
            </w:r>
          </w:p>
        </w:tc>
        <w:tc>
          <w:tcPr>
            <w:tcW w:w="1123"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nil"/>
              <w:left w:val="nil"/>
              <w:bottom w:val="single" w:sz="6" w:space="0" w:color="auto"/>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Other comprehensive income for the year</w:t>
            </w:r>
          </w:p>
        </w:tc>
        <w:tc>
          <w:tcPr>
            <w:tcW w:w="1440"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667.7</w:t>
            </w:r>
          </w:p>
        </w:tc>
        <w:tc>
          <w:tcPr>
            <w:tcW w:w="1123"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415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Total equity at end of period</w:t>
            </w:r>
          </w:p>
        </w:tc>
        <w:tc>
          <w:tcPr>
            <w:tcW w:w="1440"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51 540.3</w:t>
            </w:r>
          </w:p>
        </w:tc>
        <w:tc>
          <w:tcPr>
            <w:tcW w:w="1123"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50.0</w:t>
            </w:r>
          </w:p>
        </w:tc>
      </w:tr>
    </w:tbl>
    <w:p w:rsidR="00F60B5F" w:rsidRDefault="00F60B5F" w:rsidP="00596C71">
      <w:pPr>
        <w:pStyle w:val="Source"/>
      </w:pPr>
      <w:r w:rsidRPr="00F27D04">
        <w:t>Source: Department of Treasury and Finance</w:t>
      </w:r>
    </w:p>
    <w:p w:rsidR="00F60B5F" w:rsidRDefault="00F60B5F" w:rsidP="00596C71">
      <w:pPr>
        <w:pStyle w:val="Notes"/>
      </w:pPr>
      <w:r>
        <w:t>Note:</w:t>
      </w:r>
    </w:p>
    <w:p w:rsidR="00F60B5F" w:rsidRPr="00E01F92" w:rsidRDefault="00F60B5F" w:rsidP="00596C71">
      <w:pPr>
        <w:pStyle w:val="Notes"/>
      </w:pPr>
      <w:r w:rsidRPr="00E01F92">
        <w:t>(a)</w:t>
      </w:r>
      <w:r>
        <w:tab/>
      </w:r>
      <w:r w:rsidRPr="00E01F92">
        <w:t>Impact is due to the correction of balances as at 30 June 2013 between deferred tax liability accounts.</w:t>
      </w:r>
    </w:p>
    <w:p w:rsidR="00F60B5F" w:rsidRPr="00F27D04" w:rsidRDefault="00F60B5F" w:rsidP="00250CAA"/>
    <w:p w:rsidR="00F60B5F" w:rsidRPr="00F27D04" w:rsidRDefault="00F60B5F">
      <w:pPr>
        <w:spacing w:after="0"/>
      </w:pPr>
      <w:r w:rsidRPr="00F27D04">
        <w:br w:type="page"/>
      </w:r>
    </w:p>
    <w:p w:rsidR="00F60B5F" w:rsidRPr="00F27D04" w:rsidRDefault="00F60B5F" w:rsidP="00AA7E47">
      <w:pPr>
        <w:pStyle w:val="Tableheading"/>
        <w:spacing w:after="80"/>
      </w:pPr>
    </w:p>
    <w:p w:rsidR="00F60B5F" w:rsidRDefault="00F60B5F" w:rsidP="00E1323B">
      <w:pPr>
        <w:pStyle w:val="million"/>
        <w:rPr>
          <w:rFonts w:ascii="Times New Roman" w:hAnsi="Times New Roman"/>
          <w:sz w:val="20"/>
          <w:lang w:eastAsia="en-AU"/>
        </w:rPr>
      </w:pPr>
    </w:p>
    <w:tbl>
      <w:tblPr>
        <w:tblW w:w="7127" w:type="dxa"/>
        <w:tblInd w:w="28" w:type="dxa"/>
        <w:tblLayout w:type="fixed"/>
        <w:tblCellMar>
          <w:left w:w="45" w:type="dxa"/>
          <w:right w:w="45" w:type="dxa"/>
        </w:tblCellMar>
        <w:tblLook w:val="0000" w:firstRow="0" w:lastRow="0" w:firstColumn="0" w:lastColumn="0" w:noHBand="0" w:noVBand="0"/>
      </w:tblPr>
      <w:tblGrid>
        <w:gridCol w:w="2586"/>
        <w:gridCol w:w="2291"/>
        <w:gridCol w:w="2250"/>
      </w:tblGrid>
      <w:tr w:rsidR="00F60B5F" w:rsidRPr="00E1323B" w:rsidTr="00E1323B">
        <w:tc>
          <w:tcPr>
            <w:tcW w:w="2586" w:type="dxa"/>
            <w:tcBorders>
              <w:top w:val="single" w:sz="6" w:space="0" w:color="000000"/>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Land, buildings, infrastructure,</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plant and equipment</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revaluation surplus</w:t>
            </w:r>
          </w:p>
        </w:tc>
        <w:tc>
          <w:tcPr>
            <w:tcW w:w="2291" w:type="dxa"/>
            <w:tcBorders>
              <w:top w:val="single" w:sz="6" w:space="0" w:color="000000"/>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Other</w:t>
            </w: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reserves</w:t>
            </w:r>
          </w:p>
        </w:tc>
        <w:tc>
          <w:tcPr>
            <w:tcW w:w="2250" w:type="dxa"/>
            <w:tcBorders>
              <w:top w:val="single" w:sz="6" w:space="0" w:color="000000"/>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p>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Total</w:t>
            </w:r>
          </w:p>
        </w:tc>
      </w:tr>
      <w:tr w:rsidR="00F60B5F" w:rsidRPr="00E1323B" w:rsidTr="00E1323B">
        <w:tc>
          <w:tcPr>
            <w:tcW w:w="2586"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91"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50" w:type="dxa"/>
            <w:tcBorders>
              <w:top w:val="single" w:sz="6" w:space="0" w:color="000000"/>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75 568.6</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2 627.0</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111 121.0</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1 536.0</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2 532.1</w:t>
            </w:r>
          </w:p>
        </w:tc>
        <w:tc>
          <w:tcPr>
            <w:tcW w:w="229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( 761.9)</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10 975.2</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Pr>
                <w:rFonts w:eastAsiaTheme="minorEastAsia"/>
                <w:lang w:eastAsia="en-AU"/>
              </w:rPr>
              <w:t>..</w:t>
            </w:r>
          </w:p>
        </w:tc>
      </w:tr>
      <w:tr w:rsidR="00F60B5F" w:rsidRPr="00E1323B" w:rsidTr="00E1323B">
        <w:tc>
          <w:tcPr>
            <w:tcW w:w="25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78 100.7</w:t>
            </w:r>
          </w:p>
        </w:tc>
        <w:tc>
          <w:tcPr>
            <w:tcW w:w="229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1 865.1</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123 632.1</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9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78 100.7</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1 865.1</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123 632.1</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( 383.1)</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4 038.0</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23.7</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6 380.4</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r>
      <w:tr w:rsidR="00F60B5F" w:rsidRPr="00E1323B" w:rsidTr="00E1323B">
        <w:tc>
          <w:tcPr>
            <w:tcW w:w="25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82 138.7</w:t>
            </w:r>
          </w:p>
        </w:tc>
        <w:tc>
          <w:tcPr>
            <w:tcW w:w="229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1 888.8</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129 629.3</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9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78 100.7</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1 865.1</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123 632.1</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( 73.4)</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2 674.3</w:t>
            </w:r>
          </w:p>
        </w:tc>
        <w:tc>
          <w:tcPr>
            <w:tcW w:w="2291" w:type="dxa"/>
            <w:tcBorders>
              <w:top w:val="nil"/>
              <w:left w:val="nil"/>
              <w:bottom w:val="nil"/>
              <w:right w:val="nil"/>
            </w:tcBorders>
          </w:tcPr>
          <w:p w:rsidR="00F60B5F" w:rsidRPr="00E1323B" w:rsidRDefault="00F60B5F" w:rsidP="00E1323B">
            <w:pPr>
              <w:pStyle w:val="TableofFigures"/>
              <w:rPr>
                <w:rFonts w:eastAsiaTheme="minorEastAsia" w:cs="Calibri"/>
                <w:lang w:eastAsia="en-AU"/>
              </w:rPr>
            </w:pPr>
            <w:r w:rsidRPr="00E1323B">
              <w:rPr>
                <w:rFonts w:eastAsiaTheme="minorEastAsia"/>
                <w:lang w:eastAsia="en-AU"/>
              </w:rPr>
              <w:t>( 430.0)</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4 503.3</w:t>
            </w:r>
          </w:p>
        </w:tc>
      </w:tr>
      <w:tr w:rsidR="00F60B5F" w:rsidRPr="00E1323B" w:rsidTr="00E1323B">
        <w:tc>
          <w:tcPr>
            <w:tcW w:w="25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80 774.9</w:t>
            </w:r>
          </w:p>
        </w:tc>
        <w:tc>
          <w:tcPr>
            <w:tcW w:w="229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1 435.1</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128 062.0</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9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80 774.9</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1 435.1</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128 062.0</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649.2</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7 164.1</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31.1</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7 314.7</w:t>
            </w:r>
          </w:p>
        </w:tc>
      </w:tr>
      <w:tr w:rsidR="00F60B5F" w:rsidRPr="00E1323B" w:rsidTr="00E1323B">
        <w:tc>
          <w:tcPr>
            <w:tcW w:w="25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87 939.0</w:t>
            </w:r>
          </w:p>
        </w:tc>
        <w:tc>
          <w:tcPr>
            <w:tcW w:w="229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1 466.2</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136 025.9</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9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87 939.0</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1 466.2</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136 025.9</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1 634.8</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2 864.6</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60.6</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3 335.1</w:t>
            </w:r>
          </w:p>
        </w:tc>
      </w:tr>
      <w:tr w:rsidR="00F60B5F" w:rsidRPr="00E1323B" w:rsidTr="00E1323B">
        <w:tc>
          <w:tcPr>
            <w:tcW w:w="2586"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90 803.6</w:t>
            </w:r>
          </w:p>
        </w:tc>
        <w:tc>
          <w:tcPr>
            <w:tcW w:w="2291"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1 526.7</w:t>
            </w:r>
          </w:p>
        </w:tc>
        <w:tc>
          <w:tcPr>
            <w:tcW w:w="2250" w:type="dxa"/>
            <w:tcBorders>
              <w:top w:val="single" w:sz="6" w:space="0" w:color="auto"/>
              <w:left w:val="nil"/>
              <w:bottom w:val="single" w:sz="12"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140 995.9</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91"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c>
          <w:tcPr>
            <w:tcW w:w="2250" w:type="dxa"/>
            <w:tcBorders>
              <w:top w:val="nil"/>
              <w:left w:val="nil"/>
              <w:bottom w:val="nil"/>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 xml:space="preserve">   </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90 803.6</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1 526.7</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140 995.9</w:t>
            </w:r>
          </w:p>
        </w:tc>
      </w:tr>
      <w:tr w:rsidR="00F60B5F" w:rsidRPr="00E1323B" w:rsidTr="00E1323B">
        <w:tc>
          <w:tcPr>
            <w:tcW w:w="2586"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9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2250"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2 257.0</w:t>
            </w:r>
          </w:p>
        </w:tc>
      </w:tr>
      <w:tr w:rsidR="00F60B5F" w:rsidRPr="00E1323B" w:rsidTr="00E1323B">
        <w:tc>
          <w:tcPr>
            <w:tcW w:w="2586"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1 696.9</w:t>
            </w:r>
          </w:p>
        </w:tc>
        <w:tc>
          <w:tcPr>
            <w:tcW w:w="2291"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58.3</w:t>
            </w:r>
          </w:p>
        </w:tc>
        <w:tc>
          <w:tcPr>
            <w:tcW w:w="2250"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2 422.9</w:t>
            </w:r>
          </w:p>
        </w:tc>
      </w:tr>
      <w:tr w:rsidR="00F60B5F" w:rsidRPr="00E1323B" w:rsidTr="00E1323B">
        <w:tc>
          <w:tcPr>
            <w:tcW w:w="25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92 500.5</w:t>
            </w:r>
          </w:p>
        </w:tc>
        <w:tc>
          <w:tcPr>
            <w:tcW w:w="229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1 585.0</w:t>
            </w:r>
          </w:p>
        </w:tc>
        <w:tc>
          <w:tcPr>
            <w:tcW w:w="2250"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145 675.8</w:t>
            </w:r>
          </w:p>
        </w:tc>
      </w:tr>
    </w:tbl>
    <w:p w:rsidR="00F60B5F" w:rsidRPr="00F27D04" w:rsidRDefault="00F60B5F" w:rsidP="00DB59D2">
      <w:r w:rsidRPr="00F27D04">
        <w:br w:type="page"/>
      </w:r>
    </w:p>
    <w:p w:rsidR="00F60B5F" w:rsidRPr="00F27D04" w:rsidRDefault="00F60B5F" w:rsidP="00DB59D2">
      <w:pPr>
        <w:pStyle w:val="Tableheading"/>
      </w:pPr>
      <w:r w:rsidRPr="00F27D04">
        <w:t>Table 6.24:</w:t>
      </w:r>
      <w:r w:rsidRPr="00F27D04">
        <w:tab/>
        <w:t>Derivation of whole of State sector GFS cash surplus/(deficit)</w:t>
      </w:r>
    </w:p>
    <w:p w:rsidR="00F60B5F" w:rsidRPr="00E1323B" w:rsidRDefault="00F60B5F" w:rsidP="00E1323B">
      <w:pPr>
        <w:pStyle w:val="million"/>
      </w:pPr>
      <w:r w:rsidRPr="00F27D04">
        <w:t>($</w:t>
      </w:r>
      <w:r>
        <w:t> million</w:t>
      </w:r>
      <w:r w:rsidRPr="00F27D04">
        <w:t>)</w:t>
      </w:r>
    </w:p>
    <w:tbl>
      <w:tblPr>
        <w:tblW w:w="7760" w:type="dxa"/>
        <w:tblInd w:w="28" w:type="dxa"/>
        <w:tblLayout w:type="fixed"/>
        <w:tblCellMar>
          <w:left w:w="43" w:type="dxa"/>
          <w:right w:w="43" w:type="dxa"/>
        </w:tblCellMar>
        <w:tblLook w:val="0000" w:firstRow="0" w:lastRow="0" w:firstColumn="0" w:lastColumn="0" w:noHBand="0" w:noVBand="0"/>
      </w:tblPr>
      <w:tblGrid>
        <w:gridCol w:w="2445"/>
        <w:gridCol w:w="855"/>
        <w:gridCol w:w="892"/>
        <w:gridCol w:w="892"/>
        <w:gridCol w:w="892"/>
        <w:gridCol w:w="892"/>
        <w:gridCol w:w="892"/>
      </w:tblGrid>
      <w:tr w:rsidR="00F60B5F" w:rsidRPr="00596C71" w:rsidTr="00E1323B">
        <w:tc>
          <w:tcPr>
            <w:tcW w:w="2445" w:type="dxa"/>
            <w:tcBorders>
              <w:top w:val="single" w:sz="6" w:space="0" w:color="000000"/>
              <w:left w:val="single" w:sz="6" w:space="0" w:color="000000"/>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 xml:space="preserve"> </w:t>
            </w:r>
          </w:p>
        </w:tc>
        <w:tc>
          <w:tcPr>
            <w:tcW w:w="855"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2012</w:t>
            </w:r>
            <w:r>
              <w:rPr>
                <w:rFonts w:eastAsiaTheme="minorEastAsia"/>
                <w:sz w:val="19"/>
                <w:lang w:eastAsia="en-AU"/>
              </w:rPr>
              <w:noBreakHyphen/>
            </w:r>
            <w:r w:rsidRPr="00596C71">
              <w:rPr>
                <w:rFonts w:eastAsiaTheme="minorEastAsia"/>
                <w:sz w:val="19"/>
                <w:lang w:eastAsia="en-AU"/>
              </w:rPr>
              <w:t>13</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2013</w:t>
            </w:r>
            <w:r>
              <w:rPr>
                <w:rFonts w:eastAsiaTheme="minorEastAsia"/>
                <w:sz w:val="19"/>
                <w:lang w:eastAsia="en-AU"/>
              </w:rPr>
              <w:noBreakHyphen/>
            </w:r>
            <w:r w:rsidRPr="00596C71">
              <w:rPr>
                <w:rFonts w:eastAsiaTheme="minorEastAsia"/>
                <w:sz w:val="19"/>
                <w:lang w:eastAsia="en-AU"/>
              </w:rPr>
              <w:t>14</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2013</w:t>
            </w:r>
            <w:r>
              <w:rPr>
                <w:rFonts w:eastAsiaTheme="minorEastAsia"/>
                <w:sz w:val="19"/>
                <w:lang w:eastAsia="en-AU"/>
              </w:rPr>
              <w:noBreakHyphen/>
            </w:r>
            <w:r w:rsidRPr="00596C71">
              <w:rPr>
                <w:rFonts w:eastAsiaTheme="minorEastAsia"/>
                <w:sz w:val="19"/>
                <w:lang w:eastAsia="en-AU"/>
              </w:rPr>
              <w:t>14</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2014</w:t>
            </w:r>
            <w:r>
              <w:rPr>
                <w:rFonts w:eastAsiaTheme="minorEastAsia"/>
                <w:sz w:val="19"/>
                <w:lang w:eastAsia="en-AU"/>
              </w:rPr>
              <w:noBreakHyphen/>
            </w:r>
            <w:r w:rsidRPr="00596C71">
              <w:rPr>
                <w:rFonts w:eastAsiaTheme="minorEastAsia"/>
                <w:sz w:val="19"/>
                <w:lang w:eastAsia="en-AU"/>
              </w:rPr>
              <w:t>15</w:t>
            </w:r>
          </w:p>
        </w:tc>
        <w:tc>
          <w:tcPr>
            <w:tcW w:w="892" w:type="dxa"/>
            <w:tcBorders>
              <w:top w:val="single" w:sz="6" w:space="0" w:color="000000"/>
              <w:left w:val="nil"/>
              <w:bottom w:val="nil"/>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2015</w:t>
            </w:r>
            <w:r>
              <w:rPr>
                <w:rFonts w:eastAsiaTheme="minorEastAsia"/>
                <w:sz w:val="19"/>
                <w:lang w:eastAsia="en-AU"/>
              </w:rPr>
              <w:noBreakHyphen/>
            </w:r>
            <w:r w:rsidRPr="00596C71">
              <w:rPr>
                <w:rFonts w:eastAsiaTheme="minorEastAsia"/>
                <w:sz w:val="19"/>
                <w:lang w:eastAsia="en-AU"/>
              </w:rPr>
              <w:t>16</w:t>
            </w:r>
          </w:p>
        </w:tc>
        <w:tc>
          <w:tcPr>
            <w:tcW w:w="892" w:type="dxa"/>
            <w:tcBorders>
              <w:top w:val="single" w:sz="6" w:space="0" w:color="000000"/>
              <w:left w:val="nil"/>
              <w:bottom w:val="nil"/>
              <w:right w:val="single" w:sz="6" w:space="0" w:color="000000"/>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2016</w:t>
            </w:r>
            <w:r>
              <w:rPr>
                <w:rFonts w:eastAsiaTheme="minorEastAsia"/>
                <w:sz w:val="19"/>
                <w:lang w:eastAsia="en-AU"/>
              </w:rPr>
              <w:noBreakHyphen/>
            </w:r>
            <w:r w:rsidRPr="00596C71">
              <w:rPr>
                <w:rFonts w:eastAsiaTheme="minorEastAsia"/>
                <w:sz w:val="19"/>
                <w:lang w:eastAsia="en-AU"/>
              </w:rPr>
              <w:t>17</w:t>
            </w:r>
          </w:p>
        </w:tc>
      </w:tr>
      <w:tr w:rsidR="00F60B5F" w:rsidRPr="00596C71" w:rsidTr="00E1323B">
        <w:tc>
          <w:tcPr>
            <w:tcW w:w="2445" w:type="dxa"/>
            <w:tcBorders>
              <w:left w:val="single" w:sz="6" w:space="0" w:color="000000"/>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 xml:space="preserve"> </w:t>
            </w:r>
          </w:p>
        </w:tc>
        <w:tc>
          <w:tcPr>
            <w:tcW w:w="855"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Actual</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Budget</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Revised</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c>
          <w:tcPr>
            <w:tcW w:w="892" w:type="dxa"/>
            <w:tcBorders>
              <w:left w:val="nil"/>
              <w:bottom w:val="single" w:sz="6" w:space="0" w:color="000000"/>
              <w:right w:val="nil"/>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c>
          <w:tcPr>
            <w:tcW w:w="892" w:type="dxa"/>
            <w:tcBorders>
              <w:left w:val="nil"/>
              <w:bottom w:val="single" w:sz="6" w:space="0" w:color="000000"/>
              <w:right w:val="single" w:sz="6" w:space="0" w:color="000000"/>
            </w:tcBorders>
            <w:shd w:val="clear" w:color="auto" w:fill="000000"/>
          </w:tcPr>
          <w:p w:rsidR="00F60B5F" w:rsidRPr="00596C71" w:rsidRDefault="00F60B5F" w:rsidP="00E1323B">
            <w:pPr>
              <w:pStyle w:val="Tabletextheading"/>
              <w:rPr>
                <w:rFonts w:eastAsiaTheme="minorEastAsia"/>
                <w:sz w:val="19"/>
                <w:lang w:eastAsia="en-AU"/>
              </w:rPr>
            </w:pPr>
            <w:r w:rsidRPr="00596C71">
              <w:rPr>
                <w:rFonts w:eastAsiaTheme="minorEastAsia"/>
                <w:sz w:val="19"/>
                <w:lang w:eastAsia="en-AU"/>
              </w:rPr>
              <w:t>Estimate</w:t>
            </w:r>
          </w:p>
        </w:tc>
      </w:tr>
      <w:tr w:rsidR="00F60B5F" w:rsidRPr="00596C71" w:rsidTr="00E1323B">
        <w:tc>
          <w:tcPr>
            <w:tcW w:w="2445" w:type="dxa"/>
            <w:tcBorders>
              <w:top w:val="single" w:sz="6" w:space="0" w:color="000000"/>
              <w:left w:val="nil"/>
              <w:bottom w:val="nil"/>
              <w:right w:val="nil"/>
            </w:tcBorders>
          </w:tcPr>
          <w:p w:rsidR="00F60B5F" w:rsidRPr="00596C71" w:rsidRDefault="00F60B5F" w:rsidP="00E1323B">
            <w:pPr>
              <w:pStyle w:val="Tabletext"/>
              <w:rPr>
                <w:rFonts w:eastAsiaTheme="minorEastAsia"/>
                <w:b/>
                <w:sz w:val="19"/>
                <w:lang w:eastAsia="en-AU"/>
              </w:rPr>
            </w:pPr>
            <w:r w:rsidRPr="00596C71">
              <w:rPr>
                <w:rFonts w:eastAsiaTheme="minorEastAsia"/>
                <w:b/>
                <w:sz w:val="19"/>
                <w:lang w:eastAsia="en-AU"/>
              </w:rPr>
              <w:t xml:space="preserve">Cash surplus/(deficit) </w:t>
            </w:r>
          </w:p>
        </w:tc>
        <w:tc>
          <w:tcPr>
            <w:tcW w:w="855" w:type="dxa"/>
            <w:tcBorders>
              <w:top w:val="single" w:sz="6" w:space="0" w:color="000000"/>
              <w:left w:val="nil"/>
              <w:bottom w:val="nil"/>
              <w:right w:val="nil"/>
            </w:tcBorders>
          </w:tcPr>
          <w:p w:rsidR="00F60B5F" w:rsidRPr="00596C71" w:rsidRDefault="00F60B5F" w:rsidP="00E1323B">
            <w:pPr>
              <w:pStyle w:val="TableofFigures"/>
              <w:rPr>
                <w:rFonts w:eastAsiaTheme="minorEastAsia" w:cs="Calibri"/>
                <w:b/>
                <w:bCs/>
                <w:sz w:val="19"/>
                <w:lang w:eastAsia="en-AU"/>
              </w:rPr>
            </w:pPr>
            <w:r w:rsidRPr="00596C71">
              <w:rPr>
                <w:rFonts w:eastAsiaTheme="minorEastAsia"/>
                <w:b/>
                <w:bCs/>
                <w:sz w:val="19"/>
                <w:lang w:eastAsia="en-AU"/>
              </w:rPr>
              <w:t xml:space="preserve">(4 </w:t>
            </w:r>
            <w:r w:rsidRPr="00596C71">
              <w:rPr>
                <w:rFonts w:eastAsiaTheme="minorEastAsia" w:cs="Calibri"/>
                <w:b/>
                <w:bCs/>
                <w:sz w:val="19"/>
                <w:lang w:eastAsia="en-AU"/>
              </w:rPr>
              <w:t>539.3)</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(3 678.9)</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(3 428.5)</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cs="Calibri"/>
                <w:b/>
                <w:bCs/>
                <w:sz w:val="19"/>
                <w:lang w:eastAsia="en-AU"/>
              </w:rPr>
            </w:pPr>
            <w:r w:rsidRPr="00596C71">
              <w:rPr>
                <w:rFonts w:eastAsiaTheme="minorEastAsia"/>
                <w:b/>
                <w:bCs/>
                <w:sz w:val="19"/>
                <w:lang w:eastAsia="en-AU"/>
              </w:rPr>
              <w:t>(2 118.8</w:t>
            </w:r>
            <w:r w:rsidRPr="00596C71">
              <w:rPr>
                <w:rFonts w:eastAsiaTheme="minorEastAsia" w:cs="Calibri"/>
                <w:b/>
                <w:bCs/>
                <w:sz w:val="19"/>
                <w:lang w:eastAsia="en-AU"/>
              </w:rPr>
              <w:t>)</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1 556.8</w:t>
            </w:r>
          </w:p>
        </w:tc>
        <w:tc>
          <w:tcPr>
            <w:tcW w:w="892" w:type="dxa"/>
            <w:tcBorders>
              <w:top w:val="single" w:sz="6" w:space="0" w:color="000000"/>
              <w:left w:val="nil"/>
              <w:bottom w:val="nil"/>
              <w:right w:val="nil"/>
            </w:tcBorders>
          </w:tcPr>
          <w:p w:rsidR="00F60B5F" w:rsidRPr="00596C71" w:rsidRDefault="00F60B5F" w:rsidP="00E1323B">
            <w:pPr>
              <w:pStyle w:val="TableofFigures"/>
              <w:rPr>
                <w:rFonts w:eastAsiaTheme="minorEastAsia" w:cs="Calibri"/>
                <w:b/>
                <w:bCs/>
                <w:sz w:val="19"/>
                <w:lang w:eastAsia="en-AU"/>
              </w:rPr>
            </w:pPr>
            <w:r w:rsidRPr="00596C71">
              <w:rPr>
                <w:rFonts w:eastAsiaTheme="minorEastAsia"/>
                <w:b/>
                <w:bCs/>
                <w:sz w:val="19"/>
                <w:lang w:eastAsia="en-AU"/>
              </w:rPr>
              <w:t>1 747.8</w:t>
            </w:r>
          </w:p>
        </w:tc>
      </w:tr>
      <w:tr w:rsidR="00F60B5F" w:rsidRPr="00596C71" w:rsidTr="00E1323B">
        <w:tc>
          <w:tcPr>
            <w:tcW w:w="2445" w:type="dxa"/>
            <w:tcBorders>
              <w:top w:val="nil"/>
              <w:left w:val="nil"/>
              <w:bottom w:val="nil"/>
              <w:right w:val="nil"/>
            </w:tcBorders>
          </w:tcPr>
          <w:p w:rsidR="00F60B5F" w:rsidRPr="00596C71" w:rsidRDefault="00F60B5F" w:rsidP="00E1323B">
            <w:pPr>
              <w:pStyle w:val="Tabletext"/>
              <w:rPr>
                <w:rFonts w:eastAsiaTheme="minorEastAsia"/>
                <w:sz w:val="19"/>
                <w:lang w:eastAsia="en-AU"/>
              </w:rPr>
            </w:pPr>
            <w:r w:rsidRPr="00596C71">
              <w:rPr>
                <w:rFonts w:eastAsiaTheme="minorEastAsia"/>
                <w:sz w:val="19"/>
                <w:lang w:eastAsia="en-AU"/>
              </w:rPr>
              <w:t>Convergence differences:</w:t>
            </w:r>
          </w:p>
        </w:tc>
        <w:tc>
          <w:tcPr>
            <w:tcW w:w="855"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eastAsiaTheme="minorEastAsia"/>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ascii="Arial" w:eastAsiaTheme="minorEastAsia" w:hAnsi="Arial" w:cs="Arial"/>
                <w:sz w:val="19"/>
                <w:lang w:eastAsia="en-AU"/>
              </w:rPr>
            </w:pPr>
          </w:p>
        </w:tc>
        <w:tc>
          <w:tcPr>
            <w:tcW w:w="892" w:type="dxa"/>
            <w:tcBorders>
              <w:top w:val="nil"/>
              <w:left w:val="nil"/>
              <w:bottom w:val="nil"/>
              <w:right w:val="nil"/>
            </w:tcBorders>
          </w:tcPr>
          <w:p w:rsidR="00F60B5F" w:rsidRPr="00596C71" w:rsidRDefault="00F60B5F" w:rsidP="00E1323B">
            <w:pPr>
              <w:pStyle w:val="TableofFigures"/>
              <w:rPr>
                <w:rFonts w:ascii="Arial" w:eastAsiaTheme="minorEastAsia" w:hAnsi="Arial" w:cs="Arial"/>
                <w:sz w:val="19"/>
                <w:lang w:eastAsia="en-AU"/>
              </w:rPr>
            </w:pPr>
          </w:p>
        </w:tc>
      </w:tr>
      <w:tr w:rsidR="00F60B5F" w:rsidRPr="00596C71" w:rsidTr="00E1323B">
        <w:tc>
          <w:tcPr>
            <w:tcW w:w="2445" w:type="dxa"/>
            <w:tcBorders>
              <w:top w:val="nil"/>
              <w:left w:val="nil"/>
              <w:bottom w:val="single" w:sz="6" w:space="0" w:color="auto"/>
              <w:right w:val="nil"/>
            </w:tcBorders>
          </w:tcPr>
          <w:p w:rsidR="00F60B5F" w:rsidRPr="00596C71" w:rsidRDefault="00F60B5F" w:rsidP="00E1323B">
            <w:pPr>
              <w:pStyle w:val="Tabletext"/>
              <w:rPr>
                <w:rFonts w:eastAsiaTheme="minorEastAsia"/>
                <w:sz w:val="19"/>
                <w:vertAlign w:val="superscript"/>
                <w:lang w:eastAsia="en-AU"/>
              </w:rPr>
            </w:pPr>
            <w:r w:rsidRPr="00596C71">
              <w:rPr>
                <w:rFonts w:eastAsiaTheme="minorEastAsia"/>
                <w:sz w:val="19"/>
                <w:lang w:eastAsia="en-AU"/>
              </w:rPr>
              <w:t xml:space="preserve">Acquisitions under finance leases and similar arrangements </w:t>
            </w:r>
            <w:r w:rsidRPr="00596C71">
              <w:rPr>
                <w:rFonts w:eastAsiaTheme="minorEastAsia"/>
                <w:sz w:val="19"/>
                <w:vertAlign w:val="superscript"/>
                <w:lang w:eastAsia="en-AU"/>
              </w:rPr>
              <w:t>(a)</w:t>
            </w:r>
          </w:p>
        </w:tc>
        <w:tc>
          <w:tcPr>
            <w:tcW w:w="855" w:type="dxa"/>
            <w:tcBorders>
              <w:top w:val="nil"/>
              <w:left w:val="nil"/>
              <w:bottom w:val="single" w:sz="6" w:space="0" w:color="auto"/>
              <w:right w:val="nil"/>
            </w:tcBorders>
          </w:tcPr>
          <w:p w:rsidR="00F60B5F" w:rsidRPr="00596C71" w:rsidRDefault="00F60B5F" w:rsidP="00E1323B">
            <w:pPr>
              <w:pStyle w:val="TableofFigures"/>
              <w:rPr>
                <w:rFonts w:eastAsiaTheme="minorEastAsia" w:cs="Calibri"/>
                <w:sz w:val="19"/>
                <w:lang w:eastAsia="en-AU"/>
              </w:rPr>
            </w:pPr>
            <w:r w:rsidRPr="00596C71">
              <w:rPr>
                <w:rFonts w:eastAsiaTheme="minorEastAsia"/>
                <w:sz w:val="19"/>
                <w:lang w:eastAsia="en-AU"/>
              </w:rPr>
              <w:t>(5 433.8</w:t>
            </w:r>
            <w:r w:rsidRPr="00596C71">
              <w:rPr>
                <w:rFonts w:eastAsiaTheme="minorEastAsia" w:cs="Calibri"/>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sz w:val="19"/>
                <w:lang w:eastAsia="en-AU"/>
              </w:rPr>
            </w:pPr>
            <w:r w:rsidRPr="00596C71">
              <w:rPr>
                <w:rFonts w:eastAsiaTheme="minorEastAsia"/>
                <w:sz w:val="19"/>
                <w:lang w:eastAsia="en-AU"/>
              </w:rPr>
              <w:t>( 111.0)</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cs="Calibri"/>
                <w:sz w:val="19"/>
                <w:lang w:eastAsia="en-AU"/>
              </w:rPr>
            </w:pPr>
            <w:r w:rsidRPr="00596C71">
              <w:rPr>
                <w:rFonts w:eastAsiaTheme="minorEastAsia"/>
                <w:sz w:val="19"/>
                <w:lang w:eastAsia="en-AU"/>
              </w:rPr>
              <w:t>( 36.4</w:t>
            </w:r>
            <w:r w:rsidRPr="00596C71">
              <w:rPr>
                <w:rFonts w:eastAsiaTheme="minorEastAsia" w:cs="Calibri"/>
                <w:sz w:val="19"/>
                <w:lang w:eastAsia="en-AU"/>
              </w:rPr>
              <w:t>)</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cs="Calibri"/>
                <w:sz w:val="19"/>
                <w:lang w:eastAsia="en-AU"/>
              </w:rPr>
            </w:pPr>
            <w:r w:rsidRPr="00596C71">
              <w:rPr>
                <w:rFonts w:eastAsiaTheme="minorEastAsia"/>
                <w:sz w:val="19"/>
                <w:lang w:eastAsia="en-AU"/>
              </w:rPr>
              <w:t xml:space="preserve">(1 </w:t>
            </w:r>
            <w:r w:rsidRPr="00596C71">
              <w:rPr>
                <w:rFonts w:eastAsiaTheme="minorEastAsia" w:cs="Calibri"/>
                <w:sz w:val="19"/>
                <w:lang w:eastAsia="en-AU"/>
              </w:rPr>
              <w:t>050.4)</w:t>
            </w:r>
          </w:p>
        </w:tc>
        <w:tc>
          <w:tcPr>
            <w:tcW w:w="892" w:type="dxa"/>
            <w:tcBorders>
              <w:top w:val="nil"/>
              <w:left w:val="nil"/>
              <w:bottom w:val="single" w:sz="6" w:space="0" w:color="auto"/>
              <w:right w:val="nil"/>
            </w:tcBorders>
          </w:tcPr>
          <w:p w:rsidR="00F60B5F" w:rsidRPr="00596C71" w:rsidRDefault="00F60B5F" w:rsidP="00E1323B">
            <w:pPr>
              <w:pStyle w:val="TableofFigures"/>
              <w:rPr>
                <w:rFonts w:eastAsiaTheme="minorEastAsia" w:cs="Calibri"/>
                <w:sz w:val="19"/>
                <w:lang w:eastAsia="en-AU"/>
              </w:rPr>
            </w:pPr>
            <w:r w:rsidRPr="00596C71">
              <w:rPr>
                <w:rFonts w:eastAsiaTheme="minorEastAsia"/>
                <w:sz w:val="19"/>
                <w:lang w:eastAsia="en-AU"/>
              </w:rPr>
              <w:t>( 279.3</w:t>
            </w:r>
            <w:r w:rsidRPr="00596C71">
              <w:rPr>
                <w:rFonts w:eastAsiaTheme="minorEastAsia" w:cs="Calibri"/>
                <w:sz w:val="19"/>
                <w:lang w:eastAsia="en-AU"/>
              </w:rPr>
              <w:t>)</w:t>
            </w:r>
          </w:p>
        </w:tc>
      </w:tr>
      <w:tr w:rsidR="00F60B5F" w:rsidRPr="00596C71" w:rsidTr="00E1323B">
        <w:tc>
          <w:tcPr>
            <w:tcW w:w="2445"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text"/>
              <w:rPr>
                <w:rFonts w:eastAsiaTheme="minorEastAsia"/>
                <w:b/>
                <w:sz w:val="19"/>
                <w:vertAlign w:val="superscript"/>
                <w:lang w:eastAsia="en-AU"/>
              </w:rPr>
            </w:pPr>
            <w:r w:rsidRPr="00596C71">
              <w:rPr>
                <w:rFonts w:eastAsiaTheme="minorEastAsia"/>
                <w:b/>
                <w:sz w:val="19"/>
                <w:lang w:eastAsia="en-AU"/>
              </w:rPr>
              <w:t xml:space="preserve">GFS cash surplus/(deficit) </w:t>
            </w:r>
            <w:r w:rsidRPr="00596C71">
              <w:rPr>
                <w:rFonts w:eastAsiaTheme="minorEastAsia"/>
                <w:b/>
                <w:sz w:val="19"/>
                <w:vertAlign w:val="superscript"/>
                <w:lang w:eastAsia="en-AU"/>
              </w:rPr>
              <w:t>(b)</w:t>
            </w:r>
          </w:p>
        </w:tc>
        <w:tc>
          <w:tcPr>
            <w:tcW w:w="855"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cs="Calibri"/>
                <w:b/>
                <w:bCs/>
                <w:sz w:val="19"/>
                <w:lang w:eastAsia="en-AU"/>
              </w:rPr>
            </w:pPr>
            <w:r w:rsidRPr="00596C71">
              <w:rPr>
                <w:rFonts w:eastAsiaTheme="minorEastAsia"/>
                <w:b/>
                <w:bCs/>
                <w:sz w:val="19"/>
                <w:lang w:eastAsia="en-AU"/>
              </w:rPr>
              <w:t>(9 973.1</w:t>
            </w:r>
            <w:r w:rsidRPr="00596C71">
              <w:rPr>
                <w:rFonts w:eastAsiaTheme="minorEastAsia" w:cs="Calibri"/>
                <w:b/>
                <w:bCs/>
                <w:sz w:val="19"/>
                <w:lang w:eastAsia="en-AU"/>
              </w:rPr>
              <w:t>)</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(3 678.9)</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(3 539.5)</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cs="Calibri"/>
                <w:b/>
                <w:bCs/>
                <w:sz w:val="19"/>
                <w:lang w:eastAsia="en-AU"/>
              </w:rPr>
            </w:pPr>
            <w:r w:rsidRPr="00596C71">
              <w:rPr>
                <w:rFonts w:eastAsiaTheme="minorEastAsia"/>
                <w:b/>
                <w:bCs/>
                <w:sz w:val="19"/>
                <w:lang w:eastAsia="en-AU"/>
              </w:rPr>
              <w:t>(2 155.2</w:t>
            </w:r>
            <w:r w:rsidRPr="00596C71">
              <w:rPr>
                <w:rFonts w:eastAsiaTheme="minorEastAsia" w:cs="Calibri"/>
                <w:b/>
                <w:bCs/>
                <w:sz w:val="19"/>
                <w:lang w:eastAsia="en-AU"/>
              </w:rPr>
              <w:t>)</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 xml:space="preserve"> 506.3</w:t>
            </w:r>
          </w:p>
        </w:tc>
        <w:tc>
          <w:tcPr>
            <w:tcW w:w="892" w:type="dxa"/>
            <w:tcBorders>
              <w:top w:val="single" w:sz="6" w:space="0" w:color="auto"/>
              <w:left w:val="nil"/>
              <w:bottom w:val="single" w:sz="12" w:space="0" w:color="000000"/>
              <w:right w:val="nil"/>
            </w:tcBorders>
            <w:shd w:val="clear" w:color="auto" w:fill="auto"/>
          </w:tcPr>
          <w:p w:rsidR="00F60B5F" w:rsidRPr="00596C71" w:rsidRDefault="00F60B5F" w:rsidP="00E1323B">
            <w:pPr>
              <w:pStyle w:val="TableofFigures"/>
              <w:rPr>
                <w:rFonts w:eastAsiaTheme="minorEastAsia"/>
                <w:b/>
                <w:bCs/>
                <w:sz w:val="19"/>
                <w:lang w:eastAsia="en-AU"/>
              </w:rPr>
            </w:pPr>
            <w:r w:rsidRPr="00596C71">
              <w:rPr>
                <w:rFonts w:eastAsiaTheme="minorEastAsia"/>
                <w:b/>
                <w:bCs/>
                <w:sz w:val="19"/>
                <w:lang w:eastAsia="en-AU"/>
              </w:rPr>
              <w:t>1 468.5</w:t>
            </w:r>
          </w:p>
        </w:tc>
      </w:tr>
    </w:tbl>
    <w:p w:rsidR="00F60B5F" w:rsidRPr="00F27D04" w:rsidRDefault="00F60B5F" w:rsidP="00D62613">
      <w:pPr>
        <w:pStyle w:val="Source"/>
      </w:pPr>
      <w:r w:rsidRPr="00F27D04">
        <w:t>Source: Department of Treasury and Finance</w:t>
      </w:r>
    </w:p>
    <w:p w:rsidR="00F60B5F" w:rsidRPr="00F27D04" w:rsidRDefault="00F60B5F" w:rsidP="005064BB">
      <w:pPr>
        <w:pStyle w:val="Notes"/>
      </w:pPr>
      <w:r w:rsidRPr="00F27D04">
        <w:t>Notes:</w:t>
      </w:r>
    </w:p>
    <w:p w:rsidR="00F60B5F" w:rsidRPr="00F27D04" w:rsidRDefault="00F60B5F" w:rsidP="005064BB">
      <w:pPr>
        <w:pStyle w:val="Notes"/>
      </w:pPr>
      <w:r w:rsidRPr="00F27D04">
        <w:t>(a)</w:t>
      </w:r>
      <w:r w:rsidRPr="00F27D04">
        <w:tab/>
        <w:t>The 2011</w:t>
      </w:r>
      <w:r>
        <w:noBreakHyphen/>
      </w:r>
      <w:r w:rsidRPr="00F27D04">
        <w:t xml:space="preserve">12 actual reflects the recognition of the finance lease for the </w:t>
      </w:r>
      <w:r>
        <w:t xml:space="preserve">Victorian </w:t>
      </w:r>
      <w:r w:rsidRPr="00F27D04">
        <w:t>desalination plant.</w:t>
      </w:r>
    </w:p>
    <w:p w:rsidR="00F60B5F" w:rsidRPr="00F27D04" w:rsidRDefault="00F60B5F" w:rsidP="005064BB">
      <w:pPr>
        <w:pStyle w:val="Notes"/>
      </w:pPr>
      <w:r w:rsidRPr="00F27D04">
        <w:t xml:space="preserve">(b) </w:t>
      </w:r>
      <w:r w:rsidRPr="00F27D04">
        <w:tab/>
        <w:t>Determined in accordance with ABS GFS manual.</w:t>
      </w:r>
    </w:p>
    <w:p w:rsidR="00F60B5F" w:rsidRPr="00F27D04" w:rsidRDefault="00F60B5F" w:rsidP="00B8706A"/>
    <w:p w:rsidR="00F60B5F" w:rsidRPr="00F27D04" w:rsidRDefault="00F60B5F" w:rsidP="00B8706A"/>
    <w:p w:rsidR="00F60B5F" w:rsidRPr="00F27D04" w:rsidRDefault="00F60B5F" w:rsidP="00250CAA">
      <w:pPr>
        <w:pStyle w:val="Tableheading"/>
      </w:pPr>
      <w:r w:rsidRPr="00F27D04">
        <w:t>Table 6.25:</w:t>
      </w:r>
      <w:r w:rsidRPr="00F27D04">
        <w:tab/>
        <w:t>Net acquisition of non</w:t>
      </w:r>
      <w:r>
        <w:noBreakHyphen/>
      </w:r>
      <w:r w:rsidRPr="00F27D04">
        <w:t>financial assets – State of Victoria</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2447"/>
        <w:gridCol w:w="885"/>
        <w:gridCol w:w="886"/>
        <w:gridCol w:w="885"/>
        <w:gridCol w:w="886"/>
        <w:gridCol w:w="885"/>
        <w:gridCol w:w="886"/>
      </w:tblGrid>
      <w:tr w:rsidR="00F60B5F" w:rsidRPr="00E1323B" w:rsidTr="00E1323B">
        <w:tc>
          <w:tcPr>
            <w:tcW w:w="2447"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2012</w:t>
            </w:r>
            <w:r>
              <w:rPr>
                <w:rFonts w:eastAsiaTheme="minorEastAsia"/>
                <w:iCs/>
                <w:color w:val="FFFFFF"/>
                <w:lang w:eastAsia="en-AU"/>
              </w:rPr>
              <w:noBreakHyphen/>
            </w:r>
            <w:r w:rsidRPr="00E1323B">
              <w:rPr>
                <w:rFonts w:eastAsiaTheme="minorEastAsia"/>
                <w:iCs/>
                <w:color w:val="FFFFFF"/>
                <w:lang w:eastAsia="en-AU"/>
              </w:rPr>
              <w:t>13</w:t>
            </w:r>
          </w:p>
        </w:tc>
        <w:tc>
          <w:tcPr>
            <w:tcW w:w="886"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886"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2014</w:t>
            </w:r>
            <w:r>
              <w:rPr>
                <w:rFonts w:eastAsiaTheme="minorEastAsia"/>
                <w:iCs/>
                <w:color w:val="FFFFFF"/>
                <w:lang w:eastAsia="en-AU"/>
              </w:rPr>
              <w:noBreakHyphen/>
            </w:r>
            <w:r w:rsidRPr="00E1323B">
              <w:rPr>
                <w:rFonts w:eastAsiaTheme="minorEastAsia"/>
                <w:iCs/>
                <w:color w:val="FFFFFF"/>
                <w:lang w:eastAsia="en-AU"/>
              </w:rPr>
              <w:t>15</w:t>
            </w:r>
          </w:p>
        </w:tc>
        <w:tc>
          <w:tcPr>
            <w:tcW w:w="885"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2015</w:t>
            </w:r>
            <w:r>
              <w:rPr>
                <w:rFonts w:eastAsiaTheme="minorEastAsia"/>
                <w:iCs/>
                <w:color w:val="FFFFFF"/>
                <w:lang w:eastAsia="en-AU"/>
              </w:rPr>
              <w:noBreakHyphen/>
            </w:r>
            <w:r w:rsidRPr="00E1323B">
              <w:rPr>
                <w:rFonts w:eastAsiaTheme="minorEastAsia"/>
                <w:iCs/>
                <w:color w:val="FFFFFF"/>
                <w:lang w:eastAsia="en-AU"/>
              </w:rPr>
              <w:t>16</w:t>
            </w:r>
          </w:p>
        </w:tc>
        <w:tc>
          <w:tcPr>
            <w:tcW w:w="886"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2016</w:t>
            </w:r>
            <w:r>
              <w:rPr>
                <w:rFonts w:eastAsiaTheme="minorEastAsia"/>
                <w:iCs/>
                <w:color w:val="FFFFFF"/>
                <w:lang w:eastAsia="en-AU"/>
              </w:rPr>
              <w:noBreakHyphen/>
            </w:r>
            <w:r w:rsidRPr="00E1323B">
              <w:rPr>
                <w:rFonts w:eastAsiaTheme="minorEastAsia"/>
                <w:iCs/>
                <w:color w:val="FFFFFF"/>
                <w:lang w:eastAsia="en-AU"/>
              </w:rPr>
              <w:t>17</w:t>
            </w:r>
          </w:p>
        </w:tc>
      </w:tr>
      <w:tr w:rsidR="00F60B5F" w:rsidRPr="00E1323B" w:rsidTr="00E1323B">
        <w:tc>
          <w:tcPr>
            <w:tcW w:w="2447" w:type="dxa"/>
            <w:tcBorders>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Actual</w:t>
            </w:r>
          </w:p>
        </w:tc>
        <w:tc>
          <w:tcPr>
            <w:tcW w:w="88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Revised</w:t>
            </w:r>
          </w:p>
        </w:tc>
        <w:tc>
          <w:tcPr>
            <w:tcW w:w="886"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5" w:type="dxa"/>
            <w:tcBorders>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c>
          <w:tcPr>
            <w:tcW w:w="886" w:type="dxa"/>
            <w:tcBorders>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Estimate</w:t>
            </w:r>
          </w:p>
        </w:tc>
      </w:tr>
      <w:tr w:rsidR="00F60B5F" w:rsidRPr="00E1323B" w:rsidTr="00E1323B">
        <w:tc>
          <w:tcPr>
            <w:tcW w:w="2447" w:type="dxa"/>
            <w:tcBorders>
              <w:top w:val="single" w:sz="6" w:space="0" w:color="000000"/>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Purchases of non</w:t>
            </w:r>
            <w:r>
              <w:rPr>
                <w:rFonts w:eastAsiaTheme="minorEastAsia"/>
                <w:sz w:val="19"/>
                <w:lang w:eastAsia="en-AU"/>
              </w:rPr>
              <w:noBreakHyphen/>
            </w:r>
            <w:r w:rsidRPr="00E1323B">
              <w:rPr>
                <w:rFonts w:eastAsiaTheme="minorEastAsia"/>
                <w:sz w:val="19"/>
                <w:lang w:eastAsia="en-AU"/>
              </w:rPr>
              <w:t>financial assets</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7 597.8</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8 638.1</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8 180.2</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8 043.6</w:t>
            </w:r>
          </w:p>
        </w:tc>
        <w:tc>
          <w:tcPr>
            <w:tcW w:w="885"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5 748.1</w:t>
            </w:r>
          </w:p>
        </w:tc>
        <w:tc>
          <w:tcPr>
            <w:tcW w:w="886" w:type="dxa"/>
            <w:tcBorders>
              <w:top w:val="single" w:sz="6" w:space="0" w:color="000000"/>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6 203.4</w:t>
            </w:r>
          </w:p>
        </w:tc>
      </w:tr>
      <w:tr w:rsidR="00F60B5F" w:rsidRPr="00E1323B" w:rsidTr="00E1323B">
        <w:tc>
          <w:tcPr>
            <w:tcW w:w="244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Less: Sales of non</w:t>
            </w:r>
            <w:r>
              <w:rPr>
                <w:rFonts w:eastAsiaTheme="minorEastAsia"/>
                <w:sz w:val="19"/>
                <w:lang w:eastAsia="en-AU"/>
              </w:rPr>
              <w:noBreakHyphen/>
            </w:r>
            <w:r w:rsidRPr="00E1323B">
              <w:rPr>
                <w:rFonts w:eastAsiaTheme="minorEastAsia"/>
                <w:sz w:val="19"/>
                <w:lang w:eastAsia="en-AU"/>
              </w:rPr>
              <w:t>financial assets</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( 406.3)</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( 527.5)</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( 526.1)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( 536.4)</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( 574.1)</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( 519.1)</w:t>
            </w:r>
          </w:p>
        </w:tc>
      </w:tr>
      <w:tr w:rsidR="00F60B5F" w:rsidRPr="00E1323B" w:rsidTr="00E1323B">
        <w:tc>
          <w:tcPr>
            <w:tcW w:w="2447" w:type="dxa"/>
            <w:tcBorders>
              <w:top w:val="nil"/>
              <w:left w:val="nil"/>
              <w:bottom w:val="nil"/>
              <w:right w:val="nil"/>
            </w:tcBorders>
          </w:tcPr>
          <w:p w:rsidR="00F60B5F" w:rsidRPr="00E1323B" w:rsidRDefault="00F60B5F" w:rsidP="00E1323B">
            <w:pPr>
              <w:pStyle w:val="Tabletext"/>
              <w:rPr>
                <w:rFonts w:eastAsiaTheme="minorEastAsia"/>
                <w:sz w:val="19"/>
                <w:lang w:eastAsia="en-AU"/>
              </w:rPr>
            </w:pPr>
            <w:r w:rsidRPr="00E1323B">
              <w:rPr>
                <w:rFonts w:eastAsiaTheme="minorEastAsia"/>
                <w:sz w:val="19"/>
                <w:lang w:eastAsia="en-AU"/>
              </w:rPr>
              <w:t>Less: Depreciation</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(4 131.6)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(4 445.1)</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(4 368.6)</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(4 547.4)</w:t>
            </w:r>
          </w:p>
        </w:tc>
        <w:tc>
          <w:tcPr>
            <w:tcW w:w="885"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(4 817.4)</w:t>
            </w:r>
          </w:p>
        </w:tc>
        <w:tc>
          <w:tcPr>
            <w:tcW w:w="886" w:type="dxa"/>
            <w:tcBorders>
              <w:top w:val="nil"/>
              <w:left w:val="nil"/>
              <w:bottom w:val="nil"/>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(5 169.8)</w:t>
            </w:r>
          </w:p>
        </w:tc>
      </w:tr>
      <w:tr w:rsidR="00F60B5F" w:rsidRPr="00E1323B" w:rsidTr="00E1323B">
        <w:tc>
          <w:tcPr>
            <w:tcW w:w="2447" w:type="dxa"/>
            <w:tcBorders>
              <w:top w:val="nil"/>
              <w:left w:val="nil"/>
              <w:bottom w:val="single" w:sz="6" w:space="0" w:color="auto"/>
              <w:right w:val="nil"/>
            </w:tcBorders>
          </w:tcPr>
          <w:p w:rsidR="00F60B5F" w:rsidRPr="00E1323B" w:rsidRDefault="00F60B5F" w:rsidP="00E1323B">
            <w:pPr>
              <w:pStyle w:val="Tabletext"/>
              <w:rPr>
                <w:rFonts w:eastAsiaTheme="minorEastAsia"/>
                <w:sz w:val="19"/>
                <w:vertAlign w:val="superscript"/>
                <w:lang w:eastAsia="en-AU"/>
              </w:rPr>
            </w:pPr>
            <w:r w:rsidRPr="00E1323B">
              <w:rPr>
                <w:rFonts w:eastAsiaTheme="minorEastAsia"/>
                <w:sz w:val="19"/>
                <w:lang w:eastAsia="en-AU"/>
              </w:rPr>
              <w:t>Plus: Other movements in non</w:t>
            </w:r>
            <w:r>
              <w:rPr>
                <w:rFonts w:eastAsiaTheme="minorEastAsia"/>
                <w:sz w:val="19"/>
                <w:lang w:eastAsia="en-AU"/>
              </w:rPr>
              <w:noBreakHyphen/>
            </w:r>
            <w:r w:rsidRPr="00E1323B">
              <w:rPr>
                <w:rFonts w:eastAsiaTheme="minorEastAsia"/>
                <w:sz w:val="19"/>
                <w:lang w:eastAsia="en-AU"/>
              </w:rPr>
              <w:t xml:space="preserve">financial assets </w:t>
            </w:r>
            <w:r w:rsidRPr="00E1323B">
              <w:rPr>
                <w:rFonts w:eastAsiaTheme="minorEastAsia"/>
                <w:sz w:val="19"/>
                <w:vertAlign w:val="superscript"/>
                <w:lang w:eastAsia="en-AU"/>
              </w:rPr>
              <w:t>(a)</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5 526.4</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142.1</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305.5</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181.6</w:t>
            </w:r>
          </w:p>
        </w:tc>
        <w:tc>
          <w:tcPr>
            <w:tcW w:w="885"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1 220.5</w:t>
            </w:r>
          </w:p>
        </w:tc>
        <w:tc>
          <w:tcPr>
            <w:tcW w:w="886" w:type="dxa"/>
            <w:tcBorders>
              <w:top w:val="nil"/>
              <w:left w:val="nil"/>
              <w:bottom w:val="single" w:sz="6" w:space="0" w:color="auto"/>
              <w:right w:val="nil"/>
            </w:tcBorders>
          </w:tcPr>
          <w:p w:rsidR="00F60B5F" w:rsidRPr="00E1323B" w:rsidRDefault="00F60B5F" w:rsidP="00E1323B">
            <w:pPr>
              <w:pStyle w:val="TableofFigures"/>
              <w:rPr>
                <w:rFonts w:eastAsiaTheme="minorEastAsia"/>
                <w:sz w:val="19"/>
                <w:lang w:eastAsia="en-AU"/>
              </w:rPr>
            </w:pPr>
            <w:r w:rsidRPr="00E1323B">
              <w:rPr>
                <w:rFonts w:eastAsiaTheme="minorEastAsia"/>
                <w:sz w:val="19"/>
                <w:lang w:eastAsia="en-AU"/>
              </w:rPr>
              <w:t xml:space="preserve"> 457.8</w:t>
            </w:r>
          </w:p>
        </w:tc>
      </w:tr>
      <w:tr w:rsidR="00F60B5F" w:rsidRPr="00E1323B" w:rsidTr="00E1323B">
        <w:tc>
          <w:tcPr>
            <w:tcW w:w="2447"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b/>
                <w:sz w:val="19"/>
                <w:lang w:eastAsia="en-AU"/>
              </w:rPr>
            </w:pPr>
            <w:r w:rsidRPr="00E1323B">
              <w:rPr>
                <w:rFonts w:eastAsiaTheme="minorEastAsia"/>
                <w:b/>
                <w:sz w:val="19"/>
                <w:lang w:eastAsia="en-AU"/>
              </w:rPr>
              <w:t>Total net acquisition of non</w:t>
            </w:r>
            <w:r>
              <w:rPr>
                <w:rFonts w:eastAsiaTheme="minorEastAsia"/>
                <w:b/>
                <w:sz w:val="19"/>
                <w:lang w:eastAsia="en-AU"/>
              </w:rPr>
              <w:noBreakHyphen/>
            </w:r>
            <w:r w:rsidRPr="00E1323B">
              <w:rPr>
                <w:rFonts w:eastAsiaTheme="minorEastAsia"/>
                <w:b/>
                <w:sz w:val="19"/>
                <w:lang w:eastAsia="en-AU"/>
              </w:rPr>
              <w:t>financial assets</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8 586.3</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3 807.7</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3 591.0</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3 141.3</w:t>
            </w:r>
          </w:p>
        </w:tc>
        <w:tc>
          <w:tcPr>
            <w:tcW w:w="885"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1 577.1</w:t>
            </w:r>
          </w:p>
        </w:tc>
        <w:tc>
          <w:tcPr>
            <w:tcW w:w="886"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b/>
                <w:sz w:val="19"/>
                <w:lang w:eastAsia="en-AU"/>
              </w:rPr>
            </w:pPr>
            <w:r w:rsidRPr="00E1323B">
              <w:rPr>
                <w:rFonts w:eastAsiaTheme="minorEastAsia"/>
                <w:b/>
                <w:sz w:val="19"/>
                <w:lang w:eastAsia="en-AU"/>
              </w:rPr>
              <w:t xml:space="preserve"> 972.3</w:t>
            </w:r>
          </w:p>
        </w:tc>
      </w:tr>
    </w:tbl>
    <w:p w:rsidR="00F60B5F" w:rsidRDefault="00F60B5F" w:rsidP="00596C71">
      <w:pPr>
        <w:pStyle w:val="Source"/>
      </w:pPr>
      <w:r w:rsidRPr="00F27D04">
        <w:t>Source: Department of Treasury and Finance</w:t>
      </w:r>
    </w:p>
    <w:p w:rsidR="00F60B5F" w:rsidRPr="00F27D04" w:rsidRDefault="00F60B5F" w:rsidP="00777937">
      <w:pPr>
        <w:pStyle w:val="Notes"/>
      </w:pPr>
      <w:r w:rsidRPr="00F27D04">
        <w:t>Note:</w:t>
      </w:r>
    </w:p>
    <w:p w:rsidR="00F60B5F" w:rsidRPr="00F27D04" w:rsidRDefault="00F60B5F" w:rsidP="00777937">
      <w:pPr>
        <w:pStyle w:val="Notes"/>
      </w:pPr>
      <w:r w:rsidRPr="00F27D04">
        <w:t xml:space="preserve">(a) </w:t>
      </w:r>
      <w:r w:rsidRPr="00F27D04">
        <w:tab/>
        <w:t>The 2015</w:t>
      </w:r>
      <w:r>
        <w:noBreakHyphen/>
      </w:r>
      <w:r w:rsidRPr="00F27D04">
        <w:t>16 finance lease amount predominantly relates to the Victorian Comprehensive Cancer Centre.</w:t>
      </w:r>
    </w:p>
    <w:p w:rsidR="00F60B5F" w:rsidRPr="00F27D04" w:rsidRDefault="00F60B5F" w:rsidP="00250CAA"/>
    <w:p w:rsidR="00F60B5F" w:rsidRPr="00F27D04" w:rsidRDefault="00F60B5F">
      <w:pPr>
        <w:spacing w:after="0"/>
        <w:rPr>
          <w:rFonts w:ascii="Calibri" w:hAnsi="Calibri"/>
          <w:b/>
        </w:rPr>
      </w:pPr>
      <w:r w:rsidRPr="00F27D04">
        <w:br w:type="page"/>
      </w:r>
    </w:p>
    <w:p w:rsidR="00F60B5F" w:rsidRPr="00F27D04" w:rsidRDefault="00F60B5F" w:rsidP="00416A24">
      <w:pPr>
        <w:pStyle w:val="Heading1"/>
      </w:pPr>
      <w:bookmarkStart w:id="52" w:name="_Toc374373959"/>
      <w:r w:rsidRPr="00F27D04">
        <w:t>Victoria’s 2013</w:t>
      </w:r>
      <w:r>
        <w:noBreakHyphen/>
      </w:r>
      <w:r w:rsidRPr="00F27D04">
        <w:t>14 Loan Council Allocation</w:t>
      </w:r>
      <w:bookmarkEnd w:id="52"/>
    </w:p>
    <w:p w:rsidR="00F60B5F" w:rsidRPr="00F27D04" w:rsidRDefault="00F60B5F" w:rsidP="003E63E6">
      <w:r w:rsidRPr="00F27D04">
        <w:t xml:space="preserve">As required under the Uniform Presentation Framework, Victoria is required to publish the Loan Council Allocation (LCA) estimates. The LCA is a measure of each government’s net call on financial markets in a given financial year to meet its budget obligations. The method of public release is the responsibility of each individual jurisdiction. Victoria discloses its LCA information through the Financial Report for the State of Victoria, Budget Paper No. 5 </w:t>
      </w:r>
      <w:r w:rsidRPr="00F27D04">
        <w:rPr>
          <w:i/>
        </w:rPr>
        <w:t>Statements of Finances</w:t>
      </w:r>
      <w:r w:rsidRPr="00F27D04">
        <w:t xml:space="preserve"> and </w:t>
      </w:r>
      <w:r>
        <w:t xml:space="preserve">the </w:t>
      </w:r>
      <w:r w:rsidRPr="00F27D04">
        <w:t>budget update.</w:t>
      </w:r>
    </w:p>
    <w:p w:rsidR="00F60B5F" w:rsidRPr="00F27D04" w:rsidRDefault="00F60B5F" w:rsidP="003E63E6">
      <w:r w:rsidRPr="00F27D04">
        <w:t>Table 6.26 compares the Victorian 2013</w:t>
      </w:r>
      <w:r>
        <w:noBreakHyphen/>
      </w:r>
      <w:r w:rsidRPr="00F27D04">
        <w:t xml:space="preserve">14 LCA nomination (based on </w:t>
      </w:r>
      <w:r>
        <w:rPr>
          <w:i/>
        </w:rPr>
        <w:t>2012</w:t>
      </w:r>
      <w:r>
        <w:rPr>
          <w:i/>
        </w:rPr>
        <w:noBreakHyphen/>
        <w:t>13</w:t>
      </w:r>
      <w:r w:rsidRPr="00F27D04">
        <w:rPr>
          <w:i/>
        </w:rPr>
        <w:t xml:space="preserve"> Budget Update</w:t>
      </w:r>
      <w:r w:rsidRPr="00F27D04">
        <w:t xml:space="preserve"> estimates) approved by the Loan Council in April 2013, with the 2013</w:t>
      </w:r>
      <w:r>
        <w:noBreakHyphen/>
      </w:r>
      <w:r w:rsidRPr="00F27D04">
        <w:t>14 revised LCA</w:t>
      </w:r>
      <w:r w:rsidRPr="007517DE">
        <w:t>.</w:t>
      </w:r>
    </w:p>
    <w:p w:rsidR="00F60B5F" w:rsidRPr="00F27D04" w:rsidRDefault="00F60B5F" w:rsidP="00416A24">
      <w:pPr>
        <w:pStyle w:val="Tableheading"/>
      </w:pPr>
      <w:r w:rsidRPr="00F27D04">
        <w:t>Table 6.26:</w:t>
      </w:r>
      <w:r w:rsidRPr="00F27D04">
        <w:tab/>
        <w:t>Loan Council Allocation</w:t>
      </w:r>
    </w:p>
    <w:p w:rsidR="00F60B5F" w:rsidRPr="00E1323B" w:rsidRDefault="00F60B5F" w:rsidP="00E1323B">
      <w:pPr>
        <w:pStyle w:val="million"/>
        <w:rPr>
          <w:rFonts w:ascii="Times New Roman" w:hAnsi="Times New Roman"/>
          <w:sz w:val="20"/>
          <w:lang w:eastAsia="en-AU"/>
        </w:rPr>
      </w:pPr>
      <w:r w:rsidRPr="00F27D04">
        <w:t>($</w:t>
      </w:r>
      <w:r>
        <w:t> million</w:t>
      </w:r>
      <w:r w:rsidRPr="00F27D04">
        <w:t>)</w:t>
      </w:r>
    </w:p>
    <w:tbl>
      <w:tblPr>
        <w:tblW w:w="7760" w:type="dxa"/>
        <w:tblInd w:w="28" w:type="dxa"/>
        <w:tblLayout w:type="fixed"/>
        <w:tblCellMar>
          <w:left w:w="45" w:type="dxa"/>
          <w:right w:w="45" w:type="dxa"/>
        </w:tblCellMar>
        <w:tblLook w:val="0000" w:firstRow="0" w:lastRow="0" w:firstColumn="0" w:lastColumn="0" w:noHBand="0" w:noVBand="0"/>
      </w:tblPr>
      <w:tblGrid>
        <w:gridCol w:w="5478"/>
        <w:gridCol w:w="1141"/>
        <w:gridCol w:w="1141"/>
      </w:tblGrid>
      <w:tr w:rsidR="00F60B5F" w:rsidRPr="00E1323B" w:rsidTr="00E1323B">
        <w:tc>
          <w:tcPr>
            <w:tcW w:w="5478" w:type="dxa"/>
            <w:tcBorders>
              <w:top w:val="single" w:sz="6" w:space="0" w:color="000000"/>
              <w:left w:val="single" w:sz="6" w:space="0" w:color="000000"/>
              <w:bottom w:val="nil"/>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1141" w:type="dxa"/>
            <w:tcBorders>
              <w:top w:val="single" w:sz="6" w:space="0" w:color="000000"/>
              <w:left w:val="nil"/>
              <w:bottom w:val="nil"/>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c>
          <w:tcPr>
            <w:tcW w:w="1141" w:type="dxa"/>
            <w:tcBorders>
              <w:top w:val="single" w:sz="6" w:space="0" w:color="000000"/>
              <w:left w:val="nil"/>
              <w:bottom w:val="nil"/>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2013</w:t>
            </w:r>
            <w:r>
              <w:rPr>
                <w:rFonts w:eastAsiaTheme="minorEastAsia"/>
                <w:iCs/>
                <w:color w:val="FFFFFF"/>
                <w:lang w:eastAsia="en-AU"/>
              </w:rPr>
              <w:noBreakHyphen/>
            </w:r>
            <w:r w:rsidRPr="00E1323B">
              <w:rPr>
                <w:rFonts w:eastAsiaTheme="minorEastAsia"/>
                <w:iCs/>
                <w:color w:val="FFFFFF"/>
                <w:lang w:eastAsia="en-AU"/>
              </w:rPr>
              <w:t>14</w:t>
            </w:r>
          </w:p>
        </w:tc>
      </w:tr>
      <w:tr w:rsidR="00F60B5F" w:rsidRPr="00E1323B" w:rsidTr="00E1323B">
        <w:tc>
          <w:tcPr>
            <w:tcW w:w="5478" w:type="dxa"/>
            <w:tcBorders>
              <w:top w:val="nil"/>
              <w:left w:val="single" w:sz="6" w:space="0" w:color="000000"/>
              <w:bottom w:val="single" w:sz="6" w:space="0" w:color="000000"/>
              <w:right w:val="nil"/>
            </w:tcBorders>
            <w:shd w:val="clear" w:color="000000" w:fill="000000"/>
          </w:tcPr>
          <w:p w:rsidR="00F60B5F" w:rsidRPr="00E1323B" w:rsidRDefault="00F60B5F" w:rsidP="00E1323B">
            <w:pPr>
              <w:pStyle w:val="Tabletextheading"/>
              <w:rPr>
                <w:rFonts w:eastAsiaTheme="minorEastAsia"/>
                <w:color w:val="FFFFFF"/>
                <w:lang w:eastAsia="en-AU"/>
              </w:rPr>
            </w:pPr>
            <w:r w:rsidRPr="00E1323B">
              <w:rPr>
                <w:rFonts w:eastAsiaTheme="minorEastAsia"/>
                <w:color w:val="FFFFFF"/>
                <w:lang w:eastAsia="en-AU"/>
              </w:rPr>
              <w:t xml:space="preserve"> </w:t>
            </w:r>
          </w:p>
        </w:tc>
        <w:tc>
          <w:tcPr>
            <w:tcW w:w="1141" w:type="dxa"/>
            <w:tcBorders>
              <w:top w:val="nil"/>
              <w:left w:val="nil"/>
              <w:bottom w:val="single" w:sz="6" w:space="0" w:color="000000"/>
              <w:right w:val="nil"/>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Nomination</w:t>
            </w:r>
          </w:p>
        </w:tc>
        <w:tc>
          <w:tcPr>
            <w:tcW w:w="1141" w:type="dxa"/>
            <w:tcBorders>
              <w:top w:val="nil"/>
              <w:left w:val="nil"/>
              <w:bottom w:val="single" w:sz="6" w:space="0" w:color="000000"/>
              <w:right w:val="single" w:sz="6" w:space="0" w:color="000000"/>
            </w:tcBorders>
            <w:shd w:val="clear" w:color="000000" w:fill="000000"/>
          </w:tcPr>
          <w:p w:rsidR="00F60B5F" w:rsidRPr="00E1323B" w:rsidRDefault="00F60B5F" w:rsidP="00E1323B">
            <w:pPr>
              <w:pStyle w:val="Tabletextheading"/>
              <w:rPr>
                <w:rFonts w:eastAsiaTheme="minorEastAsia"/>
                <w:iCs/>
                <w:color w:val="FFFFFF"/>
                <w:lang w:eastAsia="en-AU"/>
              </w:rPr>
            </w:pPr>
            <w:r w:rsidRPr="00E1323B">
              <w:rPr>
                <w:rFonts w:eastAsiaTheme="minorEastAsia"/>
                <w:iCs/>
                <w:color w:val="FFFFFF"/>
                <w:lang w:eastAsia="en-AU"/>
              </w:rPr>
              <w:t>Revised</w:t>
            </w:r>
          </w:p>
        </w:tc>
      </w:tr>
      <w:tr w:rsidR="00F60B5F" w:rsidRPr="00E1323B" w:rsidTr="00E1323B">
        <w:tc>
          <w:tcPr>
            <w:tcW w:w="5478" w:type="dxa"/>
            <w:tcBorders>
              <w:top w:val="single" w:sz="6" w:space="0" w:color="000000"/>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General government cash deficit (+)</w:t>
            </w:r>
          </w:p>
        </w:tc>
        <w:tc>
          <w:tcPr>
            <w:tcW w:w="1141" w:type="dxa"/>
            <w:tcBorders>
              <w:top w:val="single" w:sz="6" w:space="0" w:color="000000"/>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1 631.4</w:t>
            </w:r>
          </w:p>
        </w:tc>
        <w:tc>
          <w:tcPr>
            <w:tcW w:w="1141" w:type="dxa"/>
            <w:tcBorders>
              <w:top w:val="single" w:sz="6" w:space="0" w:color="000000"/>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1 204.3</w:t>
            </w:r>
          </w:p>
        </w:tc>
      </w:tr>
      <w:tr w:rsidR="00F60B5F" w:rsidRPr="00E1323B" w:rsidTr="00E1323B">
        <w:tc>
          <w:tcPr>
            <w:tcW w:w="5478"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Public non</w:t>
            </w:r>
            <w:r>
              <w:rPr>
                <w:rFonts w:eastAsiaTheme="minorEastAsia"/>
                <w:lang w:eastAsia="en-AU"/>
              </w:rPr>
              <w:noBreakHyphen/>
            </w:r>
            <w:r w:rsidRPr="00E1323B">
              <w:rPr>
                <w:rFonts w:eastAsiaTheme="minorEastAsia"/>
                <w:lang w:eastAsia="en-AU"/>
              </w:rPr>
              <w:t>financial corporations sector cash deficit (+)</w:t>
            </w:r>
          </w:p>
        </w:tc>
        <w:tc>
          <w:tcPr>
            <w:tcW w:w="1141"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2 227.6</w:t>
            </w:r>
          </w:p>
        </w:tc>
        <w:tc>
          <w:tcPr>
            <w:tcW w:w="114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2 383.0</w:t>
            </w:r>
          </w:p>
        </w:tc>
      </w:tr>
      <w:tr w:rsidR="00F60B5F" w:rsidRPr="00E1323B" w:rsidTr="00E1323B">
        <w:tc>
          <w:tcPr>
            <w:tcW w:w="5478" w:type="dxa"/>
            <w:tcBorders>
              <w:top w:val="single" w:sz="6" w:space="0" w:color="auto"/>
              <w:left w:val="nil"/>
              <w:bottom w:val="nil"/>
              <w:right w:val="nil"/>
            </w:tcBorders>
          </w:tcPr>
          <w:p w:rsidR="00F60B5F" w:rsidRPr="00E1323B" w:rsidRDefault="00F60B5F" w:rsidP="00E1323B">
            <w:pPr>
              <w:pStyle w:val="Tabletext"/>
              <w:rPr>
                <w:rFonts w:eastAsiaTheme="minorEastAsia"/>
                <w:vertAlign w:val="superscript"/>
                <w:lang w:eastAsia="en-AU"/>
              </w:rPr>
            </w:pPr>
            <w:r w:rsidRPr="00E1323B">
              <w:rPr>
                <w:rFonts w:eastAsiaTheme="minorEastAsia"/>
                <w:lang w:eastAsia="en-AU"/>
              </w:rPr>
              <w:t>Non</w:t>
            </w:r>
            <w:r>
              <w:rPr>
                <w:rFonts w:eastAsiaTheme="minorEastAsia"/>
                <w:lang w:eastAsia="en-AU"/>
              </w:rPr>
              <w:noBreakHyphen/>
            </w:r>
            <w:r w:rsidRPr="00E1323B">
              <w:rPr>
                <w:rFonts w:eastAsiaTheme="minorEastAsia"/>
                <w:lang w:eastAsia="en-AU"/>
              </w:rPr>
              <w:t xml:space="preserve">financial public sector cash deficit (+) </w:t>
            </w:r>
            <w:r w:rsidRPr="00E1323B">
              <w:rPr>
                <w:rFonts w:eastAsiaTheme="minorEastAsia"/>
                <w:vertAlign w:val="superscript"/>
                <w:lang w:eastAsia="en-AU"/>
              </w:rPr>
              <w:t>(a)</w:t>
            </w:r>
          </w:p>
        </w:tc>
        <w:tc>
          <w:tcPr>
            <w:tcW w:w="114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3 856.2</w:t>
            </w:r>
          </w:p>
        </w:tc>
        <w:tc>
          <w:tcPr>
            <w:tcW w:w="1141" w:type="dxa"/>
            <w:tcBorders>
              <w:top w:val="single" w:sz="6" w:space="0" w:color="auto"/>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3 920.6</w:t>
            </w:r>
          </w:p>
        </w:tc>
      </w:tr>
      <w:tr w:rsidR="00F60B5F" w:rsidRPr="00E1323B" w:rsidTr="00E1323B">
        <w:tc>
          <w:tcPr>
            <w:tcW w:w="5478" w:type="dxa"/>
            <w:tcBorders>
              <w:top w:val="nil"/>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Acquisitions under finance leases and similar arrangements</w:t>
            </w:r>
          </w:p>
        </w:tc>
        <w:tc>
          <w:tcPr>
            <w:tcW w:w="1141"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w:t>
            </w:r>
          </w:p>
        </w:tc>
        <w:tc>
          <w:tcPr>
            <w:tcW w:w="114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111.0</w:t>
            </w:r>
          </w:p>
        </w:tc>
      </w:tr>
      <w:tr w:rsidR="00F60B5F" w:rsidRPr="00E1323B" w:rsidTr="00E1323B">
        <w:tc>
          <w:tcPr>
            <w:tcW w:w="5478" w:type="dxa"/>
            <w:tcBorders>
              <w:top w:val="single" w:sz="6" w:space="0" w:color="auto"/>
              <w:left w:val="nil"/>
              <w:bottom w:val="nil"/>
              <w:right w:val="nil"/>
            </w:tcBorders>
          </w:tcPr>
          <w:p w:rsidR="00F60B5F" w:rsidRPr="00E1323B" w:rsidRDefault="00F60B5F" w:rsidP="00E1323B">
            <w:pPr>
              <w:pStyle w:val="Tabletext"/>
              <w:rPr>
                <w:rFonts w:eastAsiaTheme="minorEastAsia"/>
                <w:lang w:eastAsia="en-AU"/>
              </w:rPr>
            </w:pPr>
            <w:r w:rsidRPr="00E1323B">
              <w:rPr>
                <w:rFonts w:eastAsiaTheme="minorEastAsia"/>
                <w:lang w:eastAsia="en-AU"/>
              </w:rPr>
              <w:t>ABS GFS cash deficit(+)</w:t>
            </w:r>
          </w:p>
        </w:tc>
        <w:tc>
          <w:tcPr>
            <w:tcW w:w="114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3 856.2</w:t>
            </w:r>
          </w:p>
        </w:tc>
        <w:tc>
          <w:tcPr>
            <w:tcW w:w="1141" w:type="dxa"/>
            <w:tcBorders>
              <w:top w:val="single" w:sz="6" w:space="0" w:color="auto"/>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4 031.6</w:t>
            </w:r>
          </w:p>
        </w:tc>
      </w:tr>
      <w:tr w:rsidR="00F60B5F" w:rsidRPr="00E1323B" w:rsidTr="00E1323B">
        <w:tc>
          <w:tcPr>
            <w:tcW w:w="5478" w:type="dxa"/>
            <w:tcBorders>
              <w:top w:val="nil"/>
              <w:left w:val="nil"/>
              <w:bottom w:val="nil"/>
              <w:right w:val="nil"/>
            </w:tcBorders>
          </w:tcPr>
          <w:p w:rsidR="00F60B5F" w:rsidRPr="00E1323B" w:rsidRDefault="00F60B5F" w:rsidP="00E1323B">
            <w:pPr>
              <w:pStyle w:val="Tabletext"/>
              <w:rPr>
                <w:rFonts w:eastAsiaTheme="minorEastAsia"/>
                <w:vertAlign w:val="superscript"/>
                <w:lang w:eastAsia="en-AU"/>
              </w:rPr>
            </w:pPr>
            <w:r w:rsidRPr="00E1323B">
              <w:rPr>
                <w:rFonts w:eastAsiaTheme="minorEastAsia"/>
                <w:lang w:eastAsia="en-AU"/>
              </w:rPr>
              <w:t xml:space="preserve">Net cash flows from investments in financial assets for policy purposes </w:t>
            </w:r>
            <w:r w:rsidRPr="00E1323B">
              <w:rPr>
                <w:rFonts w:eastAsiaTheme="minorEastAsia"/>
                <w:vertAlign w:val="superscript"/>
                <w:lang w:eastAsia="en-AU"/>
              </w:rPr>
              <w:t>(b)</w:t>
            </w:r>
          </w:p>
        </w:tc>
        <w:tc>
          <w:tcPr>
            <w:tcW w:w="114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( 124.2)</w:t>
            </w:r>
          </w:p>
        </w:tc>
        <w:tc>
          <w:tcPr>
            <w:tcW w:w="114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( 11.1)</w:t>
            </w:r>
          </w:p>
        </w:tc>
      </w:tr>
      <w:tr w:rsidR="00F60B5F" w:rsidRPr="00E1323B" w:rsidTr="00E1323B">
        <w:tc>
          <w:tcPr>
            <w:tcW w:w="5478" w:type="dxa"/>
            <w:tcBorders>
              <w:top w:val="nil"/>
              <w:left w:val="nil"/>
              <w:bottom w:val="nil"/>
              <w:right w:val="nil"/>
            </w:tcBorders>
          </w:tcPr>
          <w:p w:rsidR="00F60B5F" w:rsidRPr="00E1323B" w:rsidRDefault="00F60B5F" w:rsidP="00E1323B">
            <w:pPr>
              <w:pStyle w:val="Tabletext"/>
              <w:rPr>
                <w:rFonts w:eastAsiaTheme="minorEastAsia"/>
                <w:vertAlign w:val="superscript"/>
                <w:lang w:eastAsia="en-AU"/>
              </w:rPr>
            </w:pPr>
            <w:r w:rsidRPr="00E1323B">
              <w:rPr>
                <w:rFonts w:eastAsiaTheme="minorEastAsia"/>
                <w:lang w:eastAsia="en-AU"/>
              </w:rPr>
              <w:t xml:space="preserve">Memorandum items </w:t>
            </w:r>
            <w:r w:rsidRPr="00E1323B">
              <w:rPr>
                <w:rFonts w:eastAsiaTheme="minorEastAsia"/>
                <w:vertAlign w:val="superscript"/>
                <w:lang w:eastAsia="en-AU"/>
              </w:rPr>
              <w:t>(c)</w:t>
            </w:r>
          </w:p>
        </w:tc>
        <w:tc>
          <w:tcPr>
            <w:tcW w:w="1141" w:type="dxa"/>
            <w:tcBorders>
              <w:top w:val="nil"/>
              <w:left w:val="nil"/>
              <w:bottom w:val="single" w:sz="6" w:space="0" w:color="auto"/>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605.0</w:t>
            </w:r>
          </w:p>
        </w:tc>
        <w:tc>
          <w:tcPr>
            <w:tcW w:w="1141" w:type="dxa"/>
            <w:tcBorders>
              <w:top w:val="nil"/>
              <w:left w:val="nil"/>
              <w:bottom w:val="nil"/>
              <w:right w:val="nil"/>
            </w:tcBorders>
          </w:tcPr>
          <w:p w:rsidR="00F60B5F" w:rsidRPr="00E1323B" w:rsidRDefault="00F60B5F" w:rsidP="00E1323B">
            <w:pPr>
              <w:pStyle w:val="TableofFigures"/>
              <w:rPr>
                <w:rFonts w:eastAsiaTheme="minorEastAsia"/>
                <w:lang w:eastAsia="en-AU"/>
              </w:rPr>
            </w:pPr>
            <w:r w:rsidRPr="00E1323B">
              <w:rPr>
                <w:rFonts w:eastAsiaTheme="minorEastAsia"/>
                <w:lang w:eastAsia="en-AU"/>
              </w:rPr>
              <w:t xml:space="preserve"> 715.0</w:t>
            </w:r>
          </w:p>
        </w:tc>
      </w:tr>
      <w:tr w:rsidR="00F60B5F" w:rsidRPr="00E1323B" w:rsidTr="00E1323B">
        <w:tc>
          <w:tcPr>
            <w:tcW w:w="5478" w:type="dxa"/>
            <w:tcBorders>
              <w:top w:val="single" w:sz="6" w:space="0" w:color="auto"/>
              <w:left w:val="nil"/>
              <w:bottom w:val="single" w:sz="6" w:space="0" w:color="auto"/>
              <w:right w:val="nil"/>
            </w:tcBorders>
          </w:tcPr>
          <w:p w:rsidR="00F60B5F" w:rsidRPr="00E1323B" w:rsidRDefault="00F60B5F" w:rsidP="00E1323B">
            <w:pPr>
              <w:pStyle w:val="Tabletext"/>
              <w:rPr>
                <w:rFonts w:eastAsiaTheme="minorEastAsia"/>
                <w:b/>
                <w:bCs/>
                <w:lang w:eastAsia="en-AU"/>
              </w:rPr>
            </w:pPr>
            <w:r w:rsidRPr="00E1323B">
              <w:rPr>
                <w:rFonts w:eastAsiaTheme="minorEastAsia"/>
                <w:b/>
                <w:bCs/>
                <w:lang w:eastAsia="en-AU"/>
              </w:rPr>
              <w:t>Loan Council Allocation</w:t>
            </w:r>
          </w:p>
        </w:tc>
        <w:tc>
          <w:tcPr>
            <w:tcW w:w="114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lang w:eastAsia="en-AU"/>
              </w:rPr>
            </w:pPr>
            <w:r w:rsidRPr="00E1323B">
              <w:rPr>
                <w:rFonts w:eastAsiaTheme="minorEastAsia"/>
                <w:b/>
                <w:lang w:eastAsia="en-AU"/>
              </w:rPr>
              <w:t>4 585.4</w:t>
            </w:r>
          </w:p>
        </w:tc>
        <w:tc>
          <w:tcPr>
            <w:tcW w:w="1141" w:type="dxa"/>
            <w:tcBorders>
              <w:top w:val="single" w:sz="6" w:space="0" w:color="auto"/>
              <w:left w:val="nil"/>
              <w:bottom w:val="single" w:sz="6" w:space="0" w:color="auto"/>
              <w:right w:val="nil"/>
            </w:tcBorders>
          </w:tcPr>
          <w:p w:rsidR="00F60B5F" w:rsidRPr="00E1323B" w:rsidRDefault="00F60B5F" w:rsidP="00E1323B">
            <w:pPr>
              <w:pStyle w:val="TableofFigures"/>
              <w:rPr>
                <w:rFonts w:eastAsiaTheme="minorEastAsia"/>
                <w:b/>
                <w:bCs/>
                <w:lang w:eastAsia="en-AU"/>
              </w:rPr>
            </w:pPr>
            <w:r w:rsidRPr="00E1323B">
              <w:rPr>
                <w:rFonts w:eastAsiaTheme="minorEastAsia"/>
                <w:b/>
                <w:bCs/>
                <w:lang w:eastAsia="en-AU"/>
              </w:rPr>
              <w:t>4 757.7</w:t>
            </w:r>
          </w:p>
        </w:tc>
      </w:tr>
      <w:tr w:rsidR="00F60B5F" w:rsidRPr="00E1323B" w:rsidTr="00E1323B">
        <w:tc>
          <w:tcPr>
            <w:tcW w:w="5478"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text"/>
              <w:rPr>
                <w:rFonts w:eastAsiaTheme="minorEastAsia"/>
                <w:vertAlign w:val="superscript"/>
                <w:lang w:eastAsia="en-AU"/>
              </w:rPr>
            </w:pPr>
            <w:r w:rsidRPr="00E1323B">
              <w:rPr>
                <w:rFonts w:eastAsiaTheme="minorEastAsia"/>
                <w:lang w:eastAsia="en-AU"/>
              </w:rPr>
              <w:t xml:space="preserve">Tolerance limit </w:t>
            </w:r>
            <w:r w:rsidRPr="00E1323B">
              <w:rPr>
                <w:rFonts w:eastAsiaTheme="minorEastAsia"/>
                <w:vertAlign w:val="superscript"/>
                <w:lang w:eastAsia="en-AU"/>
              </w:rPr>
              <w:t>(d)</w:t>
            </w:r>
          </w:p>
        </w:tc>
        <w:tc>
          <w:tcPr>
            <w:tcW w:w="114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lang w:eastAsia="en-AU"/>
              </w:rPr>
            </w:pPr>
            <w:r w:rsidRPr="00E1323B">
              <w:rPr>
                <w:rFonts w:eastAsiaTheme="minorEastAsia"/>
                <w:lang w:eastAsia="en-AU"/>
              </w:rPr>
              <w:t>1 099.0</w:t>
            </w:r>
          </w:p>
        </w:tc>
        <w:tc>
          <w:tcPr>
            <w:tcW w:w="1141" w:type="dxa"/>
            <w:tcBorders>
              <w:top w:val="single" w:sz="6" w:space="0" w:color="auto"/>
              <w:left w:val="nil"/>
              <w:bottom w:val="single" w:sz="12" w:space="0" w:color="000000"/>
              <w:right w:val="nil"/>
            </w:tcBorders>
            <w:shd w:val="clear" w:color="auto" w:fill="auto"/>
          </w:tcPr>
          <w:p w:rsidR="00F60B5F" w:rsidRPr="00E1323B" w:rsidRDefault="00F60B5F" w:rsidP="00E1323B">
            <w:pPr>
              <w:pStyle w:val="TableofFigures"/>
              <w:rPr>
                <w:rFonts w:eastAsiaTheme="minorEastAsia"/>
                <w:lang w:eastAsia="en-AU"/>
              </w:rPr>
            </w:pPr>
            <w:r w:rsidRPr="00E1323B">
              <w:rPr>
                <w:rFonts w:eastAsiaTheme="minorEastAsia"/>
                <w:lang w:eastAsia="en-AU"/>
              </w:rPr>
              <w:t>1 099.0</w:t>
            </w:r>
          </w:p>
        </w:tc>
      </w:tr>
    </w:tbl>
    <w:p w:rsidR="00F60B5F" w:rsidRPr="00F27D04" w:rsidRDefault="00F60B5F" w:rsidP="005E5BD3">
      <w:pPr>
        <w:pStyle w:val="Notes"/>
      </w:pPr>
      <w:r w:rsidRPr="00F27D04">
        <w:t>Notes:</w:t>
      </w:r>
    </w:p>
    <w:p w:rsidR="00F60B5F" w:rsidRPr="00F27D04" w:rsidRDefault="00F60B5F" w:rsidP="005E5BD3">
      <w:pPr>
        <w:pStyle w:val="Notes"/>
      </w:pPr>
      <w:r w:rsidRPr="00F27D04">
        <w:t xml:space="preserve">(a) </w:t>
      </w:r>
      <w:r w:rsidRPr="00F27D04">
        <w:tab/>
        <w:t>The sum of the cash deficit of the general government sector and the public non</w:t>
      </w:r>
      <w:r>
        <w:noBreakHyphen/>
      </w:r>
      <w:r w:rsidRPr="00F27D04">
        <w:t>financial corporation sector does not directly equal the non</w:t>
      </w:r>
      <w:r>
        <w:noBreakHyphen/>
      </w:r>
      <w:r w:rsidRPr="00F27D04">
        <w:t>financial public sector cash deficit due to inter</w:t>
      </w:r>
      <w:r>
        <w:noBreakHyphen/>
      </w:r>
      <w:r w:rsidRPr="00F27D04">
        <w:t>sectoral transfers, which are netted out in the calculation of the non</w:t>
      </w:r>
      <w:r>
        <w:noBreakHyphen/>
      </w:r>
      <w:r w:rsidRPr="00F27D04">
        <w:t>financial public sector figure. The non</w:t>
      </w:r>
      <w:r>
        <w:noBreakHyphen/>
      </w:r>
      <w:r w:rsidRPr="00F27D04">
        <w:t>financial public sector cash deficit excludes finance lease acquisitions.</w:t>
      </w:r>
    </w:p>
    <w:p w:rsidR="00F60B5F" w:rsidRPr="00F27D04" w:rsidRDefault="00F60B5F" w:rsidP="005E5BD3">
      <w:pPr>
        <w:pStyle w:val="Notes"/>
      </w:pPr>
      <w:r w:rsidRPr="00F27D04">
        <w:t xml:space="preserve">(b) </w:t>
      </w:r>
      <w:r w:rsidRPr="00F27D04">
        <w:tab/>
        <w:t>The ABS GFS cash deficit is adjusted to include in the LCA the impact of net cash flows from investments in financial assets for policy purposes.</w:t>
      </w:r>
    </w:p>
    <w:p w:rsidR="00F60B5F" w:rsidRPr="00F27D04" w:rsidRDefault="00F60B5F" w:rsidP="005E5BD3">
      <w:pPr>
        <w:pStyle w:val="Notes"/>
      </w:pPr>
      <w:r w:rsidRPr="00F27D04">
        <w:t xml:space="preserve">(c) </w:t>
      </w:r>
      <w:r w:rsidRPr="00F27D04">
        <w:tab/>
        <w:t>The ABS GFS cash deficit is adjusted to include in the LCA the impact of memorandum items, which include certain transactions that have many of the characteristics of public sector borrowings but do not constitute formal borrowings (e.g. operating leases). They also include, where appropriate, transactions that the Loan Council has agreed should not be included in the LCA (e.g. the over/under funding of employers’ emerging costs under public sector superannuation schemes, or borrowings by entities such as statutory marketing authorities).</w:t>
      </w:r>
    </w:p>
    <w:p w:rsidR="00F60B5F" w:rsidRPr="00F27D04" w:rsidRDefault="00F60B5F" w:rsidP="005E5BD3">
      <w:pPr>
        <w:pStyle w:val="Notes"/>
      </w:pPr>
      <w:r w:rsidRPr="00F27D04">
        <w:t xml:space="preserve">(d) </w:t>
      </w:r>
      <w:r w:rsidRPr="00F27D04">
        <w:tab/>
        <w:t>A tolerance limit equal to 2</w:t>
      </w:r>
      <w:r>
        <w:t> per cent</w:t>
      </w:r>
      <w:r w:rsidRPr="00F27D04">
        <w:t xml:space="preserve"> of total non</w:t>
      </w:r>
      <w:r>
        <w:noBreakHyphen/>
      </w:r>
      <w:r w:rsidRPr="00F27D04">
        <w:t xml:space="preserve">financial public sector cash receipts from operating activities applies to the movement between a jurisdiction’s LCA nomination and LCA revised budget estimate (calculated using estimates in the </w:t>
      </w:r>
      <w:r w:rsidRPr="00C3311E">
        <w:rPr>
          <w:i w:val="0"/>
        </w:rPr>
        <w:t>2012</w:t>
      </w:r>
      <w:r>
        <w:rPr>
          <w:i w:val="0"/>
        </w:rPr>
        <w:noBreakHyphen/>
      </w:r>
      <w:r w:rsidRPr="00C3311E">
        <w:rPr>
          <w:i w:val="0"/>
        </w:rPr>
        <w:t>13 Budget Update</w:t>
      </w:r>
      <w:r w:rsidRPr="00F27D04">
        <w:t>). The tolerance limit applying to the movement between Victoria’s 2013</w:t>
      </w:r>
      <w:r>
        <w:noBreakHyphen/>
      </w:r>
      <w:r w:rsidRPr="00F27D04">
        <w:t>14 LCA nomination and its LCA revised budget estimate is $1 099</w:t>
      </w:r>
      <w:r>
        <w:t> million</w:t>
      </w:r>
      <w:r w:rsidRPr="00F27D04">
        <w:t xml:space="preserve"> (2</w:t>
      </w:r>
      <w:r>
        <w:t> per cent</w:t>
      </w:r>
      <w:r w:rsidRPr="00F27D04">
        <w:t xml:space="preserve"> of $54 948.5</w:t>
      </w:r>
      <w:r>
        <w:t> million</w:t>
      </w:r>
      <w:r w:rsidRPr="00F27D04">
        <w:t>).</w:t>
      </w:r>
    </w:p>
    <w:p w:rsidR="00F60B5F" w:rsidRPr="00F27D04" w:rsidRDefault="00F60B5F" w:rsidP="005E5BD3">
      <w:pPr>
        <w:pStyle w:val="Notes"/>
      </w:pPr>
    </w:p>
    <w:p w:rsidR="00F60B5F" w:rsidRPr="00F27D04" w:rsidRDefault="00F60B5F" w:rsidP="002C3D15">
      <w:r w:rsidRPr="00F27D04">
        <w:t>As part of the Loan Council arrangements, the Council has agreed that if at any time a state or territory finds that it is likely to exceed its tolerance limit, in either direction, it is required to provide an explanation to the Council and, in line with the emphasis of increased transparency to make the explanation public. Victoria’s 2013</w:t>
      </w:r>
      <w:r>
        <w:noBreakHyphen/>
        <w:t>14 revised LCA (a </w:t>
      </w:r>
      <w:r w:rsidRPr="00F27D04">
        <w:t>deficit of $4.8</w:t>
      </w:r>
      <w:r>
        <w:t> billion</w:t>
      </w:r>
      <w:r w:rsidRPr="00F27D04">
        <w:t>) did not exceed the tolerance limit established under the LCA nomination process.</w:t>
      </w:r>
    </w:p>
    <w:p w:rsidR="00F60B5F" w:rsidRDefault="00F60B5F">
      <w:pPr>
        <w:spacing w:after="0"/>
      </w:pPr>
      <w:r>
        <w:br w:type="page"/>
      </w:r>
    </w:p>
    <w:p w:rsidR="00F60B5F" w:rsidRPr="00F27D04" w:rsidRDefault="00F60B5F" w:rsidP="002C3D15">
      <w:r w:rsidRPr="00F27D04">
        <w:t xml:space="preserve">In the interest of transparency, the State is required to disclose the details of new infrastructure projects with private sector involvement that are expected to be contracted during the LCA year, and to report the full contingent exposure, if any. Exposure is to be measured by the Government’s termination liabilities in a case of private sector default and disclosed as a footnote to, rather than a component of the LCA. The amount payable will not exceed the fair market value of the project (which is usually calculated by an independent valuer) less any costs incurred by the Government as a result of the default. </w:t>
      </w:r>
    </w:p>
    <w:p w:rsidR="00F60B5F" w:rsidRPr="00F27D04" w:rsidRDefault="00F60B5F" w:rsidP="002C3D15">
      <w:r w:rsidRPr="00F27D04">
        <w:t xml:space="preserve">There are no </w:t>
      </w:r>
      <w:r w:rsidRPr="00FC07A7">
        <w:rPr>
          <w:i/>
        </w:rPr>
        <w:t>Partnership</w:t>
      </w:r>
      <w:r>
        <w:rPr>
          <w:i/>
        </w:rPr>
        <w:t>s</w:t>
      </w:r>
      <w:r w:rsidRPr="00FC07A7">
        <w:rPr>
          <w:i/>
        </w:rPr>
        <w:t xml:space="preserve"> Victoria</w:t>
      </w:r>
      <w:r w:rsidRPr="00F27D04">
        <w:t xml:space="preserve"> contracts that are currently expected to be signed during the 2013</w:t>
      </w:r>
      <w:r>
        <w:noBreakHyphen/>
      </w:r>
      <w:r w:rsidRPr="00F27D04">
        <w:t>14 financial year.</w:t>
      </w:r>
    </w:p>
    <w:p w:rsidR="00F60B5F" w:rsidRPr="00F27D04" w:rsidRDefault="00F60B5F" w:rsidP="0053466E"/>
    <w:p w:rsidR="00F60B5F" w:rsidRDefault="00F60B5F" w:rsidP="00856AFF"/>
    <w:p w:rsidR="00F60B5F" w:rsidRDefault="00F60B5F" w:rsidP="00856AFF">
      <w:pPr>
        <w:sectPr w:rsidR="00F60B5F" w:rsidSect="006C00BC">
          <w:footerReference w:type="even" r:id="rId33"/>
          <w:footerReference w:type="default" r:id="rId34"/>
          <w:type w:val="oddPage"/>
          <w:pgSz w:w="9979" w:h="14181" w:code="138"/>
          <w:pgMar w:top="1138" w:right="1138" w:bottom="1138" w:left="1138" w:header="720" w:footer="720" w:gutter="0"/>
          <w:cols w:space="708"/>
          <w:docGrid w:linePitch="360"/>
        </w:sectPr>
      </w:pPr>
    </w:p>
    <w:p w:rsidR="00F60B5F" w:rsidRPr="000971B6" w:rsidRDefault="00F60B5F" w:rsidP="009445B6">
      <w:pPr>
        <w:pStyle w:val="ChapterHeading"/>
      </w:pPr>
      <w:bookmarkStart w:id="53" w:name="_Toc374373960"/>
      <w:r w:rsidRPr="000971B6">
        <w:t>Chapter </w:t>
      </w:r>
      <w:r>
        <w:t>7</w:t>
      </w:r>
      <w:r w:rsidRPr="000971B6">
        <w:t xml:space="preserve"> – Contingent assets and contingent liabilities</w:t>
      </w:r>
      <w:bookmarkEnd w:id="53"/>
    </w:p>
    <w:p w:rsidR="00F60B5F" w:rsidRPr="000971B6" w:rsidRDefault="00F60B5F" w:rsidP="00A83300">
      <w:r w:rsidRPr="000971B6">
        <w:t xml:space="preserve">The estimated financial statements for the general government sector in </w:t>
      </w:r>
      <w:r>
        <w:t>Chapter 5</w:t>
      </w:r>
      <w:r w:rsidRPr="000971B6">
        <w:t xml:space="preserve"> should be read in conjunction with the following chapter. This chapter contains information pertaining to the general government sector.</w:t>
      </w:r>
    </w:p>
    <w:p w:rsidR="00F60B5F" w:rsidRPr="000971B6" w:rsidRDefault="00F60B5F" w:rsidP="006C00BC">
      <w:pPr>
        <w:pStyle w:val="Heading1"/>
      </w:pPr>
      <w:bookmarkStart w:id="54" w:name="_Toc374373961"/>
      <w:r w:rsidRPr="000971B6">
        <w:t xml:space="preserve">Contingent </w:t>
      </w:r>
      <w:r w:rsidRPr="006C00BC">
        <w:t>assets</w:t>
      </w:r>
      <w:bookmarkEnd w:id="54"/>
    </w:p>
    <w:p w:rsidR="00F60B5F" w:rsidRPr="000971B6" w:rsidRDefault="00F60B5F" w:rsidP="00A83300">
      <w:r w:rsidRPr="000971B6">
        <w:t>Contingent assets are possible assets that arise from past events, whose existence will be confirmed only by the occurrence or non</w:t>
      </w:r>
      <w:r>
        <w:noBreakHyphen/>
      </w:r>
      <w:r w:rsidRPr="000971B6">
        <w:t>occurrence of one or more uncertain future events not wholly in the control of the entity.</w:t>
      </w:r>
    </w:p>
    <w:p w:rsidR="00F60B5F" w:rsidRPr="000971B6" w:rsidRDefault="00F60B5F" w:rsidP="00A83300">
      <w:r w:rsidRPr="000971B6">
        <w:t>These are classified as either quantifiable, where the potential economic benefit is known, or non</w:t>
      </w:r>
      <w:r>
        <w:noBreakHyphen/>
      </w:r>
      <w:r w:rsidRPr="000971B6">
        <w:t>quantifiable. The table below contains quantifiable contingent assets as at 1 December 2013.</w:t>
      </w:r>
    </w:p>
    <w:p w:rsidR="00F60B5F" w:rsidRPr="000971B6" w:rsidRDefault="00F60B5F" w:rsidP="00AF25BA">
      <w:pPr>
        <w:pStyle w:val="Tableheading"/>
      </w:pPr>
      <w:r w:rsidRPr="000971B6">
        <w:t xml:space="preserve">Quantifiable </w:t>
      </w:r>
      <w:r w:rsidRPr="00AF25BA">
        <w:t>contingent</w:t>
      </w:r>
      <w:r w:rsidRPr="000971B6">
        <w:t xml:space="preserve"> assets</w:t>
      </w:r>
    </w:p>
    <w:p w:rsidR="00F60B5F" w:rsidRPr="00097D8C" w:rsidRDefault="00F60B5F" w:rsidP="00097D8C">
      <w:pPr>
        <w:pStyle w:val="million"/>
      </w:pPr>
      <w:r w:rsidRPr="000971B6">
        <w:t>($</w:t>
      </w:r>
      <w:r>
        <w:t> million</w:t>
      </w:r>
      <w:r w:rsidRPr="000971B6">
        <w:t>)</w:t>
      </w:r>
    </w:p>
    <w:tbl>
      <w:tblPr>
        <w:tblW w:w="7760" w:type="dxa"/>
        <w:tblInd w:w="28" w:type="dxa"/>
        <w:tblLayout w:type="fixed"/>
        <w:tblCellMar>
          <w:left w:w="45" w:type="dxa"/>
          <w:right w:w="45" w:type="dxa"/>
        </w:tblCellMar>
        <w:tblLook w:val="0000" w:firstRow="0" w:lastRow="0" w:firstColumn="0" w:lastColumn="0" w:noHBand="0" w:noVBand="0"/>
      </w:tblPr>
      <w:tblGrid>
        <w:gridCol w:w="4877"/>
        <w:gridCol w:w="1350"/>
        <w:gridCol w:w="1533"/>
      </w:tblGrid>
      <w:tr w:rsidR="00F60B5F" w:rsidRPr="00097D8C" w:rsidTr="00097D8C">
        <w:tc>
          <w:tcPr>
            <w:tcW w:w="4877" w:type="dxa"/>
            <w:tcBorders>
              <w:top w:val="single" w:sz="6" w:space="0" w:color="auto"/>
              <w:left w:val="single" w:sz="6" w:space="0" w:color="auto"/>
              <w:bottom w:val="single" w:sz="6" w:space="0" w:color="auto"/>
              <w:right w:val="nil"/>
            </w:tcBorders>
            <w:shd w:val="clear" w:color="000000" w:fill="000000"/>
          </w:tcPr>
          <w:p w:rsidR="00F60B5F" w:rsidRPr="00097D8C" w:rsidRDefault="00F60B5F" w:rsidP="00097D8C">
            <w:pPr>
              <w:pStyle w:val="Tabletext"/>
              <w:rPr>
                <w:rFonts w:eastAsiaTheme="minorEastAsia"/>
                <w:lang w:eastAsia="en-AU"/>
              </w:rPr>
            </w:pPr>
            <w:r w:rsidRPr="00097D8C">
              <w:rPr>
                <w:rFonts w:eastAsiaTheme="minorEastAsia"/>
                <w:lang w:eastAsia="en-AU"/>
              </w:rPr>
              <w:t xml:space="preserve"> </w:t>
            </w:r>
          </w:p>
        </w:tc>
        <w:tc>
          <w:tcPr>
            <w:tcW w:w="1350" w:type="dxa"/>
            <w:tcBorders>
              <w:top w:val="single" w:sz="6" w:space="0" w:color="auto"/>
              <w:left w:val="nil"/>
              <w:bottom w:val="single" w:sz="6" w:space="0" w:color="auto"/>
              <w:right w:val="nil"/>
            </w:tcBorders>
            <w:shd w:val="clear" w:color="000000" w:fill="000000"/>
          </w:tcPr>
          <w:p w:rsidR="00F60B5F" w:rsidRPr="00097D8C" w:rsidRDefault="00F60B5F" w:rsidP="00097D8C">
            <w:pPr>
              <w:pStyle w:val="Tabletextheading"/>
              <w:rPr>
                <w:rFonts w:eastAsiaTheme="minorEastAsia"/>
                <w:iCs/>
                <w:lang w:eastAsia="en-AU"/>
              </w:rPr>
            </w:pPr>
            <w:r w:rsidRPr="00097D8C">
              <w:rPr>
                <w:rFonts w:eastAsiaTheme="minorEastAsia"/>
                <w:iCs/>
                <w:lang w:eastAsia="en-AU"/>
              </w:rPr>
              <w:t>As at Nov 2013</w:t>
            </w:r>
          </w:p>
        </w:tc>
        <w:tc>
          <w:tcPr>
            <w:tcW w:w="1533" w:type="dxa"/>
            <w:tcBorders>
              <w:top w:val="single" w:sz="6" w:space="0" w:color="auto"/>
              <w:left w:val="nil"/>
              <w:bottom w:val="single" w:sz="6" w:space="0" w:color="auto"/>
              <w:right w:val="single" w:sz="6" w:space="0" w:color="auto"/>
            </w:tcBorders>
            <w:shd w:val="clear" w:color="000000" w:fill="000000"/>
          </w:tcPr>
          <w:p w:rsidR="00F60B5F" w:rsidRPr="00097D8C" w:rsidRDefault="00F60B5F" w:rsidP="00097D8C">
            <w:pPr>
              <w:pStyle w:val="Tabletextheading"/>
              <w:rPr>
                <w:rFonts w:eastAsiaTheme="minorEastAsia"/>
                <w:iCs/>
                <w:vertAlign w:val="superscript"/>
                <w:lang w:eastAsia="en-AU"/>
              </w:rPr>
            </w:pPr>
            <w:r w:rsidRPr="00097D8C">
              <w:rPr>
                <w:rFonts w:eastAsiaTheme="minorEastAsia"/>
                <w:iCs/>
                <w:lang w:eastAsia="en-AU"/>
              </w:rPr>
              <w:t xml:space="preserve">Published budget estimate </w:t>
            </w:r>
            <w:r w:rsidRPr="00097D8C">
              <w:rPr>
                <w:rFonts w:eastAsiaTheme="minorEastAsia"/>
                <w:iCs/>
                <w:vertAlign w:val="superscript"/>
                <w:lang w:eastAsia="en-AU"/>
              </w:rPr>
              <w:t>(a)</w:t>
            </w:r>
          </w:p>
        </w:tc>
      </w:tr>
      <w:tr w:rsidR="00F60B5F" w:rsidRPr="00097D8C" w:rsidTr="00097D8C">
        <w:tc>
          <w:tcPr>
            <w:tcW w:w="4877" w:type="dxa"/>
            <w:tcBorders>
              <w:top w:val="single" w:sz="6" w:space="0" w:color="auto"/>
              <w:left w:val="nil"/>
              <w:bottom w:val="nil"/>
              <w:right w:val="nil"/>
            </w:tcBorders>
          </w:tcPr>
          <w:p w:rsidR="00F60B5F" w:rsidRPr="00097D8C" w:rsidRDefault="00F60B5F" w:rsidP="00097D8C">
            <w:pPr>
              <w:pStyle w:val="Tabletext"/>
              <w:rPr>
                <w:rFonts w:eastAsiaTheme="minorEastAsia"/>
                <w:lang w:eastAsia="en-AU"/>
              </w:rPr>
            </w:pPr>
            <w:r w:rsidRPr="00097D8C">
              <w:rPr>
                <w:rFonts w:eastAsiaTheme="minorEastAsia"/>
                <w:lang w:eastAsia="en-AU"/>
              </w:rPr>
              <w:t>Guarantees, indemnities and warranties</w:t>
            </w:r>
          </w:p>
        </w:tc>
        <w:tc>
          <w:tcPr>
            <w:tcW w:w="1350" w:type="dxa"/>
            <w:tcBorders>
              <w:top w:val="single" w:sz="6" w:space="0" w:color="auto"/>
              <w:left w:val="nil"/>
              <w:bottom w:val="nil"/>
              <w:right w:val="nil"/>
            </w:tcBorders>
          </w:tcPr>
          <w:p w:rsidR="00F60B5F" w:rsidRPr="00097D8C" w:rsidRDefault="00F60B5F" w:rsidP="00097D8C">
            <w:pPr>
              <w:pStyle w:val="TableofFigures"/>
              <w:rPr>
                <w:rFonts w:eastAsiaTheme="minorEastAsia" w:cs="Calibri"/>
                <w:lang w:eastAsia="en-AU"/>
              </w:rPr>
            </w:pPr>
            <w:r w:rsidRPr="00097D8C">
              <w:rPr>
                <w:rFonts w:eastAsiaTheme="minorEastAsia"/>
                <w:lang w:eastAsia="en-AU"/>
              </w:rPr>
              <w:t xml:space="preserve"> 1.6</w:t>
            </w:r>
          </w:p>
        </w:tc>
        <w:tc>
          <w:tcPr>
            <w:tcW w:w="1533" w:type="dxa"/>
            <w:tcBorders>
              <w:top w:val="single" w:sz="6" w:space="0" w:color="auto"/>
              <w:left w:val="nil"/>
              <w:bottom w:val="nil"/>
              <w:right w:val="nil"/>
            </w:tcBorders>
          </w:tcPr>
          <w:p w:rsidR="00F60B5F" w:rsidRPr="00097D8C" w:rsidRDefault="00F60B5F" w:rsidP="00097D8C">
            <w:pPr>
              <w:pStyle w:val="TableofFigures"/>
              <w:rPr>
                <w:rFonts w:eastAsiaTheme="minorEastAsia"/>
                <w:lang w:eastAsia="en-AU"/>
              </w:rPr>
            </w:pPr>
            <w:r w:rsidRPr="00097D8C">
              <w:rPr>
                <w:rFonts w:eastAsiaTheme="minorEastAsia"/>
                <w:lang w:eastAsia="en-AU"/>
              </w:rPr>
              <w:t xml:space="preserve"> 1.6</w:t>
            </w:r>
          </w:p>
        </w:tc>
      </w:tr>
      <w:tr w:rsidR="00F60B5F" w:rsidRPr="00097D8C" w:rsidTr="00097D8C">
        <w:tc>
          <w:tcPr>
            <w:tcW w:w="4877" w:type="dxa"/>
            <w:tcBorders>
              <w:top w:val="nil"/>
              <w:left w:val="nil"/>
              <w:bottom w:val="nil"/>
              <w:right w:val="nil"/>
            </w:tcBorders>
          </w:tcPr>
          <w:p w:rsidR="00F60B5F" w:rsidRPr="00097D8C" w:rsidRDefault="00F60B5F" w:rsidP="00097D8C">
            <w:pPr>
              <w:pStyle w:val="Tabletext"/>
              <w:rPr>
                <w:rFonts w:eastAsiaTheme="minorEastAsia" w:cs="Calibri"/>
                <w:color w:val="000000"/>
                <w:vertAlign w:val="superscript"/>
                <w:lang w:eastAsia="en-AU"/>
              </w:rPr>
            </w:pPr>
            <w:r w:rsidRPr="00097D8C">
              <w:rPr>
                <w:rFonts w:eastAsiaTheme="minorEastAsia"/>
                <w:lang w:eastAsia="en-AU"/>
              </w:rPr>
              <w:t xml:space="preserve">Legal proceedings and disputes </w:t>
            </w:r>
            <w:r w:rsidRPr="00097D8C">
              <w:rPr>
                <w:rFonts w:eastAsiaTheme="minorEastAsia" w:cs="Calibri"/>
                <w:color w:val="000000"/>
                <w:vertAlign w:val="superscript"/>
                <w:lang w:eastAsia="en-AU"/>
              </w:rPr>
              <w:t>(b)</w:t>
            </w:r>
          </w:p>
        </w:tc>
        <w:tc>
          <w:tcPr>
            <w:tcW w:w="1350" w:type="dxa"/>
            <w:tcBorders>
              <w:top w:val="nil"/>
              <w:left w:val="nil"/>
              <w:bottom w:val="nil"/>
              <w:right w:val="nil"/>
            </w:tcBorders>
          </w:tcPr>
          <w:p w:rsidR="00F60B5F" w:rsidRPr="00097D8C" w:rsidRDefault="00F60B5F" w:rsidP="00097D8C">
            <w:pPr>
              <w:pStyle w:val="TableofFigures"/>
              <w:rPr>
                <w:rFonts w:eastAsiaTheme="minorEastAsia" w:cs="Calibri"/>
                <w:lang w:eastAsia="en-AU"/>
              </w:rPr>
            </w:pPr>
            <w:r w:rsidRPr="00097D8C">
              <w:rPr>
                <w:rFonts w:eastAsiaTheme="minorEastAsia"/>
                <w:lang w:eastAsia="en-AU"/>
              </w:rPr>
              <w:t xml:space="preserve"> 8.7</w:t>
            </w:r>
          </w:p>
        </w:tc>
        <w:tc>
          <w:tcPr>
            <w:tcW w:w="1533" w:type="dxa"/>
            <w:tcBorders>
              <w:top w:val="nil"/>
              <w:left w:val="nil"/>
              <w:bottom w:val="nil"/>
              <w:right w:val="nil"/>
            </w:tcBorders>
          </w:tcPr>
          <w:p w:rsidR="00F60B5F" w:rsidRPr="00097D8C" w:rsidRDefault="00F60B5F" w:rsidP="00097D8C">
            <w:pPr>
              <w:pStyle w:val="TableofFigures"/>
              <w:rPr>
                <w:rFonts w:eastAsiaTheme="minorEastAsia"/>
                <w:lang w:eastAsia="en-AU"/>
              </w:rPr>
            </w:pPr>
            <w:r w:rsidRPr="00097D8C">
              <w:rPr>
                <w:rFonts w:eastAsiaTheme="minorEastAsia"/>
                <w:lang w:eastAsia="en-AU"/>
              </w:rPr>
              <w:t xml:space="preserve"> 17.3</w:t>
            </w:r>
          </w:p>
        </w:tc>
      </w:tr>
      <w:tr w:rsidR="00F60B5F" w:rsidRPr="00097D8C" w:rsidTr="00097D8C">
        <w:tc>
          <w:tcPr>
            <w:tcW w:w="4877" w:type="dxa"/>
            <w:tcBorders>
              <w:top w:val="nil"/>
              <w:left w:val="nil"/>
              <w:bottom w:val="single" w:sz="6" w:space="0" w:color="auto"/>
              <w:right w:val="nil"/>
            </w:tcBorders>
          </w:tcPr>
          <w:p w:rsidR="00F60B5F" w:rsidRPr="00097D8C" w:rsidRDefault="00F60B5F" w:rsidP="00097D8C">
            <w:pPr>
              <w:pStyle w:val="Tabletext"/>
              <w:rPr>
                <w:rFonts w:eastAsiaTheme="minorEastAsia" w:cs="Calibri"/>
                <w:color w:val="000000"/>
                <w:vertAlign w:val="superscript"/>
                <w:lang w:eastAsia="en-AU"/>
              </w:rPr>
            </w:pPr>
            <w:r w:rsidRPr="00097D8C">
              <w:rPr>
                <w:rFonts w:eastAsiaTheme="minorEastAsia"/>
                <w:lang w:eastAsia="en-AU"/>
              </w:rPr>
              <w:t xml:space="preserve">Other </w:t>
            </w:r>
            <w:r w:rsidRPr="00097D8C">
              <w:rPr>
                <w:rFonts w:eastAsiaTheme="minorEastAsia" w:cs="Calibri"/>
                <w:color w:val="000000"/>
                <w:vertAlign w:val="superscript"/>
                <w:lang w:eastAsia="en-AU"/>
              </w:rPr>
              <w:t>(b)</w:t>
            </w:r>
          </w:p>
        </w:tc>
        <w:tc>
          <w:tcPr>
            <w:tcW w:w="1350" w:type="dxa"/>
            <w:tcBorders>
              <w:top w:val="nil"/>
              <w:left w:val="nil"/>
              <w:bottom w:val="single" w:sz="6" w:space="0" w:color="auto"/>
              <w:right w:val="nil"/>
            </w:tcBorders>
          </w:tcPr>
          <w:p w:rsidR="00F60B5F" w:rsidRPr="00097D8C" w:rsidRDefault="00F60B5F" w:rsidP="00097D8C">
            <w:pPr>
              <w:pStyle w:val="TableofFigures"/>
              <w:rPr>
                <w:rFonts w:eastAsiaTheme="minorEastAsia" w:cs="Calibri"/>
                <w:lang w:eastAsia="en-AU"/>
              </w:rPr>
            </w:pPr>
            <w:r w:rsidRPr="00097D8C">
              <w:rPr>
                <w:rFonts w:eastAsiaTheme="minorEastAsia"/>
                <w:lang w:eastAsia="en-AU"/>
              </w:rPr>
              <w:t xml:space="preserve"> 10.3</w:t>
            </w:r>
          </w:p>
        </w:tc>
        <w:tc>
          <w:tcPr>
            <w:tcW w:w="1533" w:type="dxa"/>
            <w:tcBorders>
              <w:top w:val="nil"/>
              <w:left w:val="nil"/>
              <w:bottom w:val="single" w:sz="6" w:space="0" w:color="auto"/>
              <w:right w:val="nil"/>
            </w:tcBorders>
          </w:tcPr>
          <w:p w:rsidR="00F60B5F" w:rsidRPr="00097D8C" w:rsidRDefault="00F60B5F" w:rsidP="00097D8C">
            <w:pPr>
              <w:pStyle w:val="TableofFigures"/>
              <w:rPr>
                <w:rFonts w:eastAsiaTheme="minorEastAsia"/>
                <w:lang w:eastAsia="en-AU"/>
              </w:rPr>
            </w:pPr>
            <w:r w:rsidRPr="00097D8C">
              <w:rPr>
                <w:rFonts w:eastAsiaTheme="minorEastAsia"/>
                <w:lang w:eastAsia="en-AU"/>
              </w:rPr>
              <w:t xml:space="preserve"> 13.2</w:t>
            </w:r>
          </w:p>
        </w:tc>
      </w:tr>
      <w:tr w:rsidR="00F60B5F" w:rsidRPr="00097D8C" w:rsidTr="00097D8C">
        <w:tc>
          <w:tcPr>
            <w:tcW w:w="4877" w:type="dxa"/>
            <w:tcBorders>
              <w:top w:val="single" w:sz="6" w:space="0" w:color="auto"/>
              <w:left w:val="nil"/>
              <w:bottom w:val="single" w:sz="12" w:space="0" w:color="000000"/>
              <w:right w:val="nil"/>
            </w:tcBorders>
            <w:shd w:val="clear" w:color="auto" w:fill="auto"/>
          </w:tcPr>
          <w:p w:rsidR="00F60B5F" w:rsidRPr="00097D8C" w:rsidRDefault="00F60B5F" w:rsidP="00097D8C">
            <w:pPr>
              <w:pStyle w:val="Tabletext"/>
              <w:rPr>
                <w:rFonts w:eastAsiaTheme="minorEastAsia"/>
                <w:b/>
                <w:bCs/>
                <w:lang w:eastAsia="en-AU"/>
              </w:rPr>
            </w:pPr>
            <w:r w:rsidRPr="00097D8C">
              <w:rPr>
                <w:rFonts w:eastAsiaTheme="minorEastAsia"/>
                <w:b/>
                <w:bCs/>
                <w:lang w:eastAsia="en-AU"/>
              </w:rPr>
              <w:t xml:space="preserve">Total contingent assets </w:t>
            </w:r>
          </w:p>
        </w:tc>
        <w:tc>
          <w:tcPr>
            <w:tcW w:w="1350" w:type="dxa"/>
            <w:tcBorders>
              <w:top w:val="single" w:sz="6" w:space="0" w:color="auto"/>
              <w:left w:val="nil"/>
              <w:bottom w:val="single" w:sz="12" w:space="0" w:color="000000"/>
              <w:right w:val="nil"/>
            </w:tcBorders>
            <w:shd w:val="clear" w:color="auto" w:fill="auto"/>
          </w:tcPr>
          <w:p w:rsidR="00F60B5F" w:rsidRPr="00097D8C" w:rsidRDefault="00F60B5F" w:rsidP="00097D8C">
            <w:pPr>
              <w:pStyle w:val="TableofFigures"/>
              <w:rPr>
                <w:rFonts w:eastAsiaTheme="minorEastAsia"/>
                <w:b/>
                <w:bCs/>
                <w:lang w:eastAsia="en-AU"/>
              </w:rPr>
            </w:pPr>
            <w:r w:rsidRPr="00097D8C">
              <w:rPr>
                <w:rFonts w:eastAsiaTheme="minorEastAsia"/>
                <w:b/>
                <w:bCs/>
                <w:lang w:eastAsia="en-AU"/>
              </w:rPr>
              <w:t xml:space="preserve"> 20.6</w:t>
            </w:r>
          </w:p>
        </w:tc>
        <w:tc>
          <w:tcPr>
            <w:tcW w:w="1533" w:type="dxa"/>
            <w:tcBorders>
              <w:top w:val="single" w:sz="6" w:space="0" w:color="auto"/>
              <w:left w:val="nil"/>
              <w:bottom w:val="single" w:sz="12" w:space="0" w:color="000000"/>
              <w:right w:val="nil"/>
            </w:tcBorders>
            <w:shd w:val="clear" w:color="auto" w:fill="auto"/>
          </w:tcPr>
          <w:p w:rsidR="00F60B5F" w:rsidRPr="00097D8C" w:rsidRDefault="00F60B5F" w:rsidP="00097D8C">
            <w:pPr>
              <w:pStyle w:val="TableofFigures"/>
              <w:rPr>
                <w:rFonts w:eastAsiaTheme="minorEastAsia"/>
                <w:b/>
                <w:bCs/>
                <w:lang w:eastAsia="en-AU"/>
              </w:rPr>
            </w:pPr>
            <w:r w:rsidRPr="00097D8C">
              <w:rPr>
                <w:rFonts w:eastAsiaTheme="minorEastAsia"/>
                <w:b/>
                <w:bCs/>
                <w:lang w:eastAsia="en-AU"/>
              </w:rPr>
              <w:t xml:space="preserve"> 32.1</w:t>
            </w:r>
          </w:p>
        </w:tc>
      </w:tr>
    </w:tbl>
    <w:p w:rsidR="00F60B5F" w:rsidRPr="000971B6" w:rsidRDefault="00F60B5F" w:rsidP="003B3220">
      <w:pPr>
        <w:pStyle w:val="Notes"/>
      </w:pPr>
      <w:r w:rsidRPr="000971B6">
        <w:t>Note</w:t>
      </w:r>
      <w:r>
        <w:t>s</w:t>
      </w:r>
      <w:r w:rsidRPr="000971B6">
        <w:t>:</w:t>
      </w:r>
    </w:p>
    <w:p w:rsidR="00F60B5F" w:rsidRPr="000971B6" w:rsidRDefault="00F60B5F" w:rsidP="003B3220">
      <w:pPr>
        <w:pStyle w:val="Notes"/>
      </w:pPr>
      <w:r w:rsidRPr="000971B6">
        <w:t xml:space="preserve">(a) </w:t>
      </w:r>
      <w:r w:rsidRPr="000971B6">
        <w:tab/>
        <w:t xml:space="preserve">As published in the </w:t>
      </w:r>
      <w:r w:rsidRPr="000971B6">
        <w:rPr>
          <w:i w:val="0"/>
        </w:rPr>
        <w:t>2013</w:t>
      </w:r>
      <w:r>
        <w:rPr>
          <w:i w:val="0"/>
        </w:rPr>
        <w:noBreakHyphen/>
      </w:r>
      <w:r w:rsidRPr="000971B6">
        <w:rPr>
          <w:i w:val="0"/>
        </w:rPr>
        <w:t>14 Budget</w:t>
      </w:r>
      <w:r w:rsidRPr="000971B6">
        <w:t>.</w:t>
      </w:r>
    </w:p>
    <w:p w:rsidR="00F60B5F" w:rsidRPr="000971B6" w:rsidRDefault="00F60B5F" w:rsidP="00A60ACC">
      <w:pPr>
        <w:pStyle w:val="Notes"/>
      </w:pPr>
      <w:r>
        <w:t>(b)</w:t>
      </w:r>
      <w:r>
        <w:tab/>
        <w:t>A number of the comparatives have been split out to reflect current information regarding classification.</w:t>
      </w:r>
    </w:p>
    <w:p w:rsidR="00F60B5F" w:rsidRPr="000971B6" w:rsidRDefault="00F60B5F" w:rsidP="003B3220">
      <w:pPr>
        <w:pStyle w:val="Heading2"/>
      </w:pPr>
      <w:r w:rsidRPr="000971B6">
        <w:t>Non</w:t>
      </w:r>
      <w:r>
        <w:noBreakHyphen/>
      </w:r>
      <w:r w:rsidRPr="000971B6">
        <w:t>quantifiable contingent assets</w:t>
      </w:r>
    </w:p>
    <w:p w:rsidR="00F60B5F" w:rsidRPr="00F60B5F" w:rsidRDefault="00F60B5F" w:rsidP="00F60B5F">
      <w:pPr>
        <w:pStyle w:val="Heading3"/>
      </w:pPr>
      <w:r w:rsidRPr="00F60B5F">
        <w:rPr>
          <w:rStyle w:val="Heading3Char"/>
          <w:b/>
          <w:i/>
        </w:rPr>
        <w:t>CityLink compensable enhancement claims</w:t>
      </w:r>
      <w:r w:rsidRPr="00F60B5F">
        <w:t xml:space="preserve"> </w:t>
      </w:r>
    </w:p>
    <w:p w:rsidR="00F60B5F" w:rsidRPr="000971B6" w:rsidRDefault="00F60B5F" w:rsidP="003B3220">
      <w:r w:rsidRPr="000971B6">
        <w:t>The Melbourne CityLink Concession Deed contains compensable enhancement provisions that enable the State to claim 50</w:t>
      </w:r>
      <w:r>
        <w:t> per cent</w:t>
      </w:r>
      <w:r w:rsidRPr="000971B6">
        <w:t xml:space="preserve"> of additional revenue derived by CityLink Melbourne Limited (CML) as a result of certain events that particularly benefit CityLink, including changes to the adjoining road network. </w:t>
      </w:r>
    </w:p>
    <w:p w:rsidR="00F60B5F" w:rsidRDefault="00F60B5F">
      <w:pPr>
        <w:spacing w:after="0"/>
      </w:pPr>
      <w:r>
        <w:br w:type="page"/>
      </w:r>
    </w:p>
    <w:p w:rsidR="00F60B5F" w:rsidRPr="000971B6" w:rsidRDefault="00F60B5F" w:rsidP="004946D6">
      <w:r w:rsidRPr="000971B6">
        <w:t>Compensable enhancement claims have previously been lodged in respect of works for improving traffic flows on the West Gate Freeway (between Lorimer and Montague Streets), and in the vicinity of the intersection of the Bulla Road and the Tullamarine Freeway. The claims were lodged on 20 May 2005 and 29 September 2006 respectively, and are still outstanding.</w:t>
      </w:r>
      <w:r w:rsidRPr="000971B6">
        <w:rPr>
          <w:highlight w:val="yellow"/>
        </w:rPr>
        <w:t xml:space="preserve"> </w:t>
      </w:r>
    </w:p>
    <w:p w:rsidR="00F60B5F" w:rsidRPr="00F60B5F" w:rsidRDefault="00F60B5F" w:rsidP="00F60B5F">
      <w:pPr>
        <w:pStyle w:val="Heading3"/>
      </w:pPr>
      <w:r w:rsidRPr="00F60B5F">
        <w:rPr>
          <w:rStyle w:val="Heading3Char"/>
          <w:b/>
          <w:i/>
        </w:rPr>
        <w:t>Revenue sharing from the Monash CityLink West Gate upgrade</w:t>
      </w:r>
      <w:r w:rsidRPr="00F60B5F">
        <w:t xml:space="preserve"> </w:t>
      </w:r>
    </w:p>
    <w:p w:rsidR="00F60B5F" w:rsidRPr="000971B6" w:rsidRDefault="00F60B5F" w:rsidP="00E7186F">
      <w:r w:rsidRPr="000971B6">
        <w:t>On 25 July 2006, CityLink Melbourne Limited (CML), Transurban Infrastructure Management Ltd (TIML) and the State entered into the M1 Corridor Redevelopment Deed.</w:t>
      </w:r>
    </w:p>
    <w:p w:rsidR="00F60B5F" w:rsidRPr="000971B6" w:rsidRDefault="00F60B5F" w:rsidP="00E7186F">
      <w:r w:rsidRPr="000971B6">
        <w:t>Under the terms of the deed:</w:t>
      </w:r>
    </w:p>
    <w:p w:rsidR="00F60B5F" w:rsidRPr="000971B6" w:rsidRDefault="00F60B5F" w:rsidP="00A60ACC">
      <w:pPr>
        <w:pStyle w:val="BulletText"/>
      </w:pPr>
      <w:r w:rsidRPr="000971B6">
        <w:t>the State upgraded the Monash and West Gate Freeways, while CML upgraded the Southern Link section of CityLink; and</w:t>
      </w:r>
    </w:p>
    <w:p w:rsidR="00F60B5F" w:rsidRPr="000971B6" w:rsidRDefault="00F60B5F" w:rsidP="00A60ACC">
      <w:pPr>
        <w:pStyle w:val="BulletText"/>
      </w:pPr>
      <w:r w:rsidRPr="000971B6">
        <w:t>the State became entitled to 50</w:t>
      </w:r>
      <w:r>
        <w:t> per cent</w:t>
      </w:r>
      <w:r w:rsidRPr="000971B6">
        <w:t xml:space="preserve"> of the additional CityLink revenue created by the Monash CityLink West Gate upgrade after CML recovers its construction and additional operating costs relating to works on the Southern Link.</w:t>
      </w:r>
    </w:p>
    <w:p w:rsidR="00F60B5F" w:rsidRPr="000971B6" w:rsidRDefault="00F60B5F" w:rsidP="00E7186F">
      <w:r w:rsidRPr="000971B6">
        <w:t>The method used to calculate the additional CityLink revenue generated from the upgrade is based on comparing actual CityLink revenue with agreed trends. The calculation date for the additional CityLink revenue and the State’s revenue sharing entitlement is 30 June 2014.</w:t>
      </w:r>
    </w:p>
    <w:p w:rsidR="00F60B5F" w:rsidRPr="000971B6" w:rsidRDefault="00F60B5F" w:rsidP="00B852A2">
      <w:pPr>
        <w:pStyle w:val="Heading1"/>
      </w:pPr>
      <w:bookmarkStart w:id="55" w:name="_Toc374373962"/>
      <w:r w:rsidRPr="000971B6">
        <w:t>Contingent liabilities</w:t>
      </w:r>
      <w:bookmarkEnd w:id="55"/>
    </w:p>
    <w:p w:rsidR="00F60B5F" w:rsidRPr="000971B6" w:rsidRDefault="00F60B5F" w:rsidP="00A83300">
      <w:r w:rsidRPr="000971B6">
        <w:t>Contingent liabilities are:</w:t>
      </w:r>
    </w:p>
    <w:p w:rsidR="00F60B5F" w:rsidRPr="000971B6" w:rsidRDefault="00F60B5F" w:rsidP="00A60ACC">
      <w:pPr>
        <w:pStyle w:val="BulletText"/>
      </w:pPr>
      <w:r w:rsidRPr="000971B6">
        <w:t>possible obligations that arise from past events, whose existence will be confirmed only by the occurrence or non</w:t>
      </w:r>
      <w:r>
        <w:noBreakHyphen/>
      </w:r>
      <w:r w:rsidRPr="000971B6">
        <w:t>occurrence of one or more uncertain future events not wholly within the control of the entity; or</w:t>
      </w:r>
    </w:p>
    <w:p w:rsidR="00F60B5F" w:rsidRPr="000971B6" w:rsidRDefault="00F60B5F" w:rsidP="00A60ACC">
      <w:pPr>
        <w:pStyle w:val="BulletText"/>
      </w:pPr>
      <w:r w:rsidRPr="000971B6">
        <w:t>present obligations that arise from past events but are not recognised because:</w:t>
      </w:r>
    </w:p>
    <w:p w:rsidR="00F60B5F" w:rsidRPr="000971B6" w:rsidRDefault="00F60B5F" w:rsidP="00A60ACC">
      <w:pPr>
        <w:pStyle w:val="DashText"/>
      </w:pPr>
      <w:r w:rsidRPr="000971B6">
        <w:t>it is not probable that an outflow of resources embodying economic benefits will be required to settle the obligations; or</w:t>
      </w:r>
    </w:p>
    <w:p w:rsidR="00F60B5F" w:rsidRPr="000971B6" w:rsidRDefault="00F60B5F" w:rsidP="00A60ACC">
      <w:pPr>
        <w:pStyle w:val="DashText"/>
      </w:pPr>
      <w:r w:rsidRPr="000971B6">
        <w:t>the amount of the obligations cannot be measured with sufficient reliability.</w:t>
      </w:r>
    </w:p>
    <w:p w:rsidR="00F60B5F" w:rsidRPr="000971B6" w:rsidRDefault="00F60B5F" w:rsidP="00A83300">
      <w:r w:rsidRPr="000971B6">
        <w:t>As with contingent assets, contingent liabilities are also classified as either quantifiable or non</w:t>
      </w:r>
      <w:r>
        <w:noBreakHyphen/>
      </w:r>
      <w:r w:rsidRPr="000971B6">
        <w:t xml:space="preserve">quantifiable. The </w:t>
      </w:r>
      <w:r>
        <w:t xml:space="preserve">following </w:t>
      </w:r>
      <w:r w:rsidRPr="000971B6">
        <w:t>table contains quantifiable contingent liabilities as at 1 December 2013.</w:t>
      </w:r>
    </w:p>
    <w:p w:rsidR="00F60B5F" w:rsidRPr="000971B6" w:rsidRDefault="00F60B5F">
      <w:pPr>
        <w:spacing w:after="0"/>
        <w:rPr>
          <w:rFonts w:ascii="Calibri" w:hAnsi="Calibri"/>
          <w:b/>
        </w:rPr>
      </w:pPr>
      <w:r w:rsidRPr="000971B6">
        <w:br w:type="page"/>
      </w:r>
    </w:p>
    <w:p w:rsidR="00F60B5F" w:rsidRPr="000971B6" w:rsidRDefault="00F60B5F" w:rsidP="00896B52">
      <w:pPr>
        <w:pStyle w:val="Tableheading"/>
      </w:pPr>
      <w:r w:rsidRPr="000971B6">
        <w:t>Quantifiable contingent liabilities</w:t>
      </w:r>
    </w:p>
    <w:p w:rsidR="00F60B5F" w:rsidRPr="00E6486A" w:rsidRDefault="00F60B5F" w:rsidP="00E6486A">
      <w:pPr>
        <w:pStyle w:val="million"/>
      </w:pPr>
      <w:r w:rsidRPr="000971B6">
        <w:t>($</w:t>
      </w:r>
      <w:r>
        <w:t> million</w:t>
      </w:r>
      <w:r w:rsidRPr="000971B6">
        <w:t>)</w:t>
      </w:r>
    </w:p>
    <w:tbl>
      <w:tblPr>
        <w:tblW w:w="7776" w:type="dxa"/>
        <w:tblInd w:w="29" w:type="dxa"/>
        <w:tblLayout w:type="fixed"/>
        <w:tblCellMar>
          <w:left w:w="43" w:type="dxa"/>
          <w:right w:w="43" w:type="dxa"/>
        </w:tblCellMar>
        <w:tblLook w:val="0000" w:firstRow="0" w:lastRow="0" w:firstColumn="0" w:lastColumn="0" w:noHBand="0" w:noVBand="0"/>
      </w:tblPr>
      <w:tblGrid>
        <w:gridCol w:w="4694"/>
        <w:gridCol w:w="1440"/>
        <w:gridCol w:w="1642"/>
      </w:tblGrid>
      <w:tr w:rsidR="00F60B5F" w:rsidRPr="00E6486A" w:rsidTr="00E6486A">
        <w:tc>
          <w:tcPr>
            <w:tcW w:w="4694" w:type="dxa"/>
            <w:tcBorders>
              <w:top w:val="single" w:sz="4" w:space="0" w:color="auto"/>
              <w:left w:val="single" w:sz="4" w:space="0" w:color="auto"/>
              <w:bottom w:val="single" w:sz="6" w:space="0" w:color="auto"/>
              <w:right w:val="nil"/>
            </w:tcBorders>
            <w:shd w:val="clear" w:color="auto" w:fill="000000"/>
          </w:tcPr>
          <w:p w:rsidR="00F60B5F" w:rsidRPr="00E6486A" w:rsidRDefault="00F60B5F" w:rsidP="00E6486A">
            <w:pPr>
              <w:pStyle w:val="Tabletext"/>
              <w:rPr>
                <w:rFonts w:eastAsiaTheme="minorEastAsia"/>
                <w:lang w:eastAsia="en-AU"/>
              </w:rPr>
            </w:pPr>
            <w:r w:rsidRPr="00E6486A">
              <w:rPr>
                <w:rFonts w:eastAsiaTheme="minorEastAsia"/>
                <w:lang w:eastAsia="en-AU"/>
              </w:rPr>
              <w:t xml:space="preserve"> </w:t>
            </w:r>
          </w:p>
        </w:tc>
        <w:tc>
          <w:tcPr>
            <w:tcW w:w="1440" w:type="dxa"/>
            <w:tcBorders>
              <w:top w:val="single" w:sz="4" w:space="0" w:color="auto"/>
              <w:left w:val="nil"/>
              <w:bottom w:val="single" w:sz="6" w:space="0" w:color="auto"/>
              <w:right w:val="nil"/>
            </w:tcBorders>
            <w:shd w:val="clear" w:color="auto" w:fill="000000"/>
          </w:tcPr>
          <w:p w:rsidR="00F60B5F" w:rsidRPr="00E6486A" w:rsidRDefault="00F60B5F" w:rsidP="00E6486A">
            <w:pPr>
              <w:pStyle w:val="Tabletextheading"/>
              <w:rPr>
                <w:rFonts w:eastAsiaTheme="minorEastAsia"/>
                <w:lang w:eastAsia="en-AU"/>
              </w:rPr>
            </w:pPr>
            <w:r w:rsidRPr="00E6486A">
              <w:rPr>
                <w:rFonts w:eastAsiaTheme="minorEastAsia"/>
                <w:lang w:eastAsia="en-AU"/>
              </w:rPr>
              <w:t>As at Nov 2013</w:t>
            </w:r>
          </w:p>
        </w:tc>
        <w:tc>
          <w:tcPr>
            <w:tcW w:w="1642" w:type="dxa"/>
            <w:tcBorders>
              <w:top w:val="single" w:sz="4" w:space="0" w:color="auto"/>
              <w:left w:val="nil"/>
              <w:bottom w:val="single" w:sz="6" w:space="0" w:color="auto"/>
              <w:right w:val="single" w:sz="4" w:space="0" w:color="auto"/>
            </w:tcBorders>
            <w:shd w:val="clear" w:color="auto" w:fill="000000"/>
          </w:tcPr>
          <w:p w:rsidR="00F60B5F" w:rsidRPr="00E6486A" w:rsidRDefault="00F60B5F" w:rsidP="00E6486A">
            <w:pPr>
              <w:pStyle w:val="Tabletextheading"/>
              <w:rPr>
                <w:rFonts w:eastAsiaTheme="minorEastAsia"/>
                <w:vertAlign w:val="superscript"/>
                <w:lang w:eastAsia="en-AU"/>
              </w:rPr>
            </w:pPr>
            <w:r w:rsidRPr="00E6486A">
              <w:rPr>
                <w:rFonts w:eastAsiaTheme="minorEastAsia"/>
                <w:lang w:eastAsia="en-AU"/>
              </w:rPr>
              <w:t xml:space="preserve">Published budget estimate </w:t>
            </w:r>
            <w:r w:rsidRPr="00E6486A">
              <w:rPr>
                <w:rFonts w:eastAsiaTheme="minorEastAsia"/>
                <w:vertAlign w:val="superscript"/>
                <w:lang w:eastAsia="en-AU"/>
              </w:rPr>
              <w:t>(a)</w:t>
            </w:r>
          </w:p>
        </w:tc>
      </w:tr>
      <w:tr w:rsidR="00F60B5F" w:rsidRPr="00E6486A" w:rsidTr="00E6486A">
        <w:tc>
          <w:tcPr>
            <w:tcW w:w="4694" w:type="dxa"/>
            <w:tcBorders>
              <w:top w:val="single" w:sz="4" w:space="0" w:color="auto"/>
              <w:left w:val="nil"/>
              <w:bottom w:val="nil"/>
              <w:right w:val="nil"/>
            </w:tcBorders>
          </w:tcPr>
          <w:p w:rsidR="00F60B5F" w:rsidRPr="00E6486A" w:rsidRDefault="00F60B5F" w:rsidP="00E6486A">
            <w:pPr>
              <w:pStyle w:val="Tabletext"/>
              <w:rPr>
                <w:rFonts w:eastAsiaTheme="minorEastAsia"/>
                <w:i/>
                <w:iCs/>
                <w:vertAlign w:val="superscript"/>
                <w:lang w:eastAsia="en-AU"/>
              </w:rPr>
            </w:pPr>
            <w:r w:rsidRPr="00E6486A">
              <w:rPr>
                <w:rFonts w:eastAsiaTheme="minorEastAsia"/>
                <w:lang w:eastAsia="en-AU"/>
              </w:rPr>
              <w:t xml:space="preserve">Guarantees, indemnities and warranties </w:t>
            </w:r>
            <w:r w:rsidRPr="00E6486A">
              <w:rPr>
                <w:rFonts w:eastAsiaTheme="minorEastAsia"/>
                <w:iCs/>
                <w:vertAlign w:val="superscript"/>
                <w:lang w:eastAsia="en-AU"/>
              </w:rPr>
              <w:t>(b)</w:t>
            </w:r>
          </w:p>
        </w:tc>
        <w:tc>
          <w:tcPr>
            <w:tcW w:w="1440" w:type="dxa"/>
            <w:tcBorders>
              <w:top w:val="single" w:sz="4" w:space="0" w:color="auto"/>
              <w:left w:val="nil"/>
              <w:bottom w:val="nil"/>
              <w:right w:val="nil"/>
            </w:tcBorders>
          </w:tcPr>
          <w:p w:rsidR="00F60B5F" w:rsidRPr="00E6486A" w:rsidRDefault="00F60B5F" w:rsidP="00E6486A">
            <w:pPr>
              <w:pStyle w:val="TableofFigures"/>
              <w:rPr>
                <w:rFonts w:eastAsiaTheme="minorEastAsia"/>
                <w:lang w:eastAsia="en-AU"/>
              </w:rPr>
            </w:pPr>
            <w:r w:rsidRPr="00E6486A">
              <w:rPr>
                <w:rFonts w:eastAsiaTheme="minorEastAsia"/>
                <w:lang w:eastAsia="en-AU"/>
              </w:rPr>
              <w:t xml:space="preserve"> 597.1</w:t>
            </w:r>
          </w:p>
        </w:tc>
        <w:tc>
          <w:tcPr>
            <w:tcW w:w="1642" w:type="dxa"/>
            <w:tcBorders>
              <w:top w:val="single" w:sz="4" w:space="0" w:color="auto"/>
              <w:left w:val="nil"/>
              <w:bottom w:val="nil"/>
              <w:right w:val="nil"/>
            </w:tcBorders>
          </w:tcPr>
          <w:p w:rsidR="00F60B5F" w:rsidRPr="00E6486A" w:rsidRDefault="00F60B5F" w:rsidP="00E6486A">
            <w:pPr>
              <w:pStyle w:val="TableofFigures"/>
              <w:rPr>
                <w:rFonts w:eastAsiaTheme="minorEastAsia"/>
                <w:lang w:eastAsia="en-AU"/>
              </w:rPr>
            </w:pPr>
            <w:r w:rsidRPr="00E6486A">
              <w:rPr>
                <w:rFonts w:eastAsiaTheme="minorEastAsia"/>
                <w:lang w:eastAsia="en-AU"/>
              </w:rPr>
              <w:t xml:space="preserve"> 717.3</w:t>
            </w:r>
          </w:p>
        </w:tc>
      </w:tr>
      <w:tr w:rsidR="00F60B5F" w:rsidRPr="00E6486A" w:rsidTr="00E6486A">
        <w:tc>
          <w:tcPr>
            <w:tcW w:w="4694" w:type="dxa"/>
            <w:tcBorders>
              <w:top w:val="nil"/>
              <w:left w:val="nil"/>
              <w:bottom w:val="nil"/>
              <w:right w:val="nil"/>
            </w:tcBorders>
          </w:tcPr>
          <w:p w:rsidR="00F60B5F" w:rsidRPr="00E6486A" w:rsidRDefault="00F60B5F" w:rsidP="00E6486A">
            <w:pPr>
              <w:pStyle w:val="Tabletext"/>
              <w:rPr>
                <w:rFonts w:eastAsiaTheme="minorEastAsia"/>
                <w:lang w:eastAsia="en-AU"/>
              </w:rPr>
            </w:pPr>
            <w:r w:rsidRPr="00E6486A">
              <w:rPr>
                <w:rFonts w:eastAsiaTheme="minorEastAsia"/>
                <w:lang w:eastAsia="en-AU"/>
              </w:rPr>
              <w:t>Legal proceedings and disputes</w:t>
            </w:r>
          </w:p>
        </w:tc>
        <w:tc>
          <w:tcPr>
            <w:tcW w:w="1440" w:type="dxa"/>
            <w:tcBorders>
              <w:top w:val="nil"/>
              <w:left w:val="nil"/>
              <w:bottom w:val="nil"/>
              <w:right w:val="nil"/>
            </w:tcBorders>
          </w:tcPr>
          <w:p w:rsidR="00F60B5F" w:rsidRPr="00E6486A" w:rsidRDefault="00F60B5F" w:rsidP="00E6486A">
            <w:pPr>
              <w:pStyle w:val="TableofFigures"/>
              <w:rPr>
                <w:rFonts w:eastAsiaTheme="minorEastAsia"/>
                <w:lang w:eastAsia="en-AU"/>
              </w:rPr>
            </w:pPr>
            <w:r w:rsidRPr="00E6486A">
              <w:rPr>
                <w:rFonts w:eastAsiaTheme="minorEastAsia"/>
                <w:lang w:eastAsia="en-AU"/>
              </w:rPr>
              <w:t xml:space="preserve"> 486.2</w:t>
            </w:r>
          </w:p>
        </w:tc>
        <w:tc>
          <w:tcPr>
            <w:tcW w:w="1642" w:type="dxa"/>
            <w:tcBorders>
              <w:top w:val="nil"/>
              <w:left w:val="nil"/>
              <w:bottom w:val="nil"/>
              <w:right w:val="nil"/>
            </w:tcBorders>
          </w:tcPr>
          <w:p w:rsidR="00F60B5F" w:rsidRPr="00E6486A" w:rsidRDefault="00F60B5F" w:rsidP="00E6486A">
            <w:pPr>
              <w:pStyle w:val="TableofFigures"/>
              <w:rPr>
                <w:rFonts w:eastAsiaTheme="minorEastAsia"/>
                <w:lang w:eastAsia="en-AU"/>
              </w:rPr>
            </w:pPr>
            <w:r w:rsidRPr="00E6486A">
              <w:rPr>
                <w:rFonts w:eastAsiaTheme="minorEastAsia"/>
                <w:lang w:eastAsia="en-AU"/>
              </w:rPr>
              <w:t xml:space="preserve"> 485.3</w:t>
            </w:r>
          </w:p>
        </w:tc>
      </w:tr>
      <w:tr w:rsidR="00F60B5F" w:rsidRPr="00E6486A" w:rsidTr="00E6486A">
        <w:tc>
          <w:tcPr>
            <w:tcW w:w="4694" w:type="dxa"/>
            <w:tcBorders>
              <w:top w:val="nil"/>
              <w:left w:val="nil"/>
              <w:bottom w:val="nil"/>
              <w:right w:val="nil"/>
            </w:tcBorders>
          </w:tcPr>
          <w:p w:rsidR="00F60B5F" w:rsidRPr="00E6486A" w:rsidRDefault="00F60B5F" w:rsidP="00E6486A">
            <w:pPr>
              <w:pStyle w:val="Tabletext"/>
              <w:rPr>
                <w:rFonts w:eastAsiaTheme="minorEastAsia"/>
                <w:lang w:eastAsia="en-AU"/>
              </w:rPr>
            </w:pPr>
            <w:r w:rsidRPr="00E6486A">
              <w:rPr>
                <w:rFonts w:eastAsiaTheme="minorEastAsia"/>
                <w:lang w:eastAsia="en-AU"/>
              </w:rPr>
              <w:t>Other</w:t>
            </w:r>
          </w:p>
        </w:tc>
        <w:tc>
          <w:tcPr>
            <w:tcW w:w="1440" w:type="dxa"/>
            <w:tcBorders>
              <w:top w:val="nil"/>
              <w:left w:val="nil"/>
              <w:bottom w:val="nil"/>
              <w:right w:val="nil"/>
            </w:tcBorders>
          </w:tcPr>
          <w:p w:rsidR="00F60B5F" w:rsidRPr="00E6486A" w:rsidRDefault="00F60B5F" w:rsidP="00E6486A">
            <w:pPr>
              <w:pStyle w:val="TableofFigures"/>
              <w:rPr>
                <w:rFonts w:eastAsiaTheme="minorEastAsia"/>
                <w:lang w:eastAsia="en-AU"/>
              </w:rPr>
            </w:pPr>
            <w:r w:rsidRPr="00E6486A">
              <w:rPr>
                <w:rFonts w:eastAsiaTheme="minorEastAsia"/>
                <w:lang w:eastAsia="en-AU"/>
              </w:rPr>
              <w:t xml:space="preserve"> 289.4</w:t>
            </w:r>
          </w:p>
        </w:tc>
        <w:tc>
          <w:tcPr>
            <w:tcW w:w="1642" w:type="dxa"/>
            <w:tcBorders>
              <w:top w:val="nil"/>
              <w:left w:val="nil"/>
              <w:bottom w:val="nil"/>
              <w:right w:val="nil"/>
            </w:tcBorders>
          </w:tcPr>
          <w:p w:rsidR="00F60B5F" w:rsidRPr="00E6486A" w:rsidRDefault="00F60B5F" w:rsidP="00E6486A">
            <w:pPr>
              <w:pStyle w:val="TableofFigures"/>
              <w:rPr>
                <w:rFonts w:eastAsiaTheme="minorEastAsia"/>
                <w:lang w:eastAsia="en-AU"/>
              </w:rPr>
            </w:pPr>
            <w:r w:rsidRPr="00E6486A">
              <w:rPr>
                <w:rFonts w:eastAsiaTheme="minorEastAsia"/>
                <w:lang w:eastAsia="en-AU"/>
              </w:rPr>
              <w:t xml:space="preserve"> 294.0</w:t>
            </w:r>
          </w:p>
        </w:tc>
      </w:tr>
      <w:tr w:rsidR="00F60B5F" w:rsidRPr="00E6486A" w:rsidTr="00E6486A">
        <w:tc>
          <w:tcPr>
            <w:tcW w:w="4694" w:type="dxa"/>
            <w:tcBorders>
              <w:top w:val="nil"/>
              <w:left w:val="nil"/>
              <w:bottom w:val="nil"/>
              <w:right w:val="nil"/>
            </w:tcBorders>
          </w:tcPr>
          <w:p w:rsidR="00F60B5F" w:rsidRPr="00E6486A" w:rsidRDefault="00F60B5F" w:rsidP="00E6486A">
            <w:pPr>
              <w:pStyle w:val="Tabletext"/>
              <w:rPr>
                <w:rFonts w:eastAsiaTheme="minorEastAsia"/>
                <w:iCs/>
                <w:vertAlign w:val="superscript"/>
                <w:lang w:eastAsia="en-AU"/>
              </w:rPr>
            </w:pPr>
            <w:r w:rsidRPr="00E6486A">
              <w:rPr>
                <w:rFonts w:eastAsiaTheme="minorEastAsia"/>
                <w:lang w:eastAsia="en-AU"/>
              </w:rPr>
              <w:t>Non</w:t>
            </w:r>
            <w:r>
              <w:rPr>
                <w:rFonts w:eastAsiaTheme="minorEastAsia"/>
                <w:lang w:eastAsia="en-AU"/>
              </w:rPr>
              <w:noBreakHyphen/>
            </w:r>
            <w:r w:rsidRPr="00E6486A">
              <w:rPr>
                <w:rFonts w:eastAsiaTheme="minorEastAsia"/>
                <w:lang w:eastAsia="en-AU"/>
              </w:rPr>
              <w:t xml:space="preserve">general government debt </w:t>
            </w:r>
            <w:r w:rsidRPr="00E6486A">
              <w:rPr>
                <w:rFonts w:eastAsiaTheme="minorEastAsia"/>
                <w:iCs/>
                <w:vertAlign w:val="superscript"/>
                <w:lang w:eastAsia="en-AU"/>
              </w:rPr>
              <w:t>(b)</w:t>
            </w:r>
          </w:p>
        </w:tc>
        <w:tc>
          <w:tcPr>
            <w:tcW w:w="1440" w:type="dxa"/>
            <w:tcBorders>
              <w:top w:val="nil"/>
              <w:left w:val="nil"/>
              <w:bottom w:val="nil"/>
              <w:right w:val="nil"/>
            </w:tcBorders>
          </w:tcPr>
          <w:p w:rsidR="00F60B5F" w:rsidRPr="00E6486A" w:rsidRDefault="00F60B5F" w:rsidP="00E6486A">
            <w:pPr>
              <w:pStyle w:val="TableofFigures"/>
              <w:rPr>
                <w:rFonts w:eastAsiaTheme="minorEastAsia"/>
                <w:lang w:eastAsia="en-AU"/>
              </w:rPr>
            </w:pPr>
            <w:r w:rsidRPr="00E6486A">
              <w:rPr>
                <w:rFonts w:eastAsiaTheme="minorEastAsia"/>
                <w:lang w:eastAsia="en-AU"/>
              </w:rPr>
              <w:t>11 016.3</w:t>
            </w:r>
          </w:p>
        </w:tc>
        <w:tc>
          <w:tcPr>
            <w:tcW w:w="1642" w:type="dxa"/>
            <w:tcBorders>
              <w:top w:val="nil"/>
              <w:left w:val="nil"/>
              <w:bottom w:val="nil"/>
              <w:right w:val="nil"/>
            </w:tcBorders>
          </w:tcPr>
          <w:p w:rsidR="00F60B5F" w:rsidRPr="00E6486A" w:rsidRDefault="00F60B5F" w:rsidP="00E6486A">
            <w:pPr>
              <w:pStyle w:val="TableofFigures"/>
              <w:rPr>
                <w:rFonts w:eastAsiaTheme="minorEastAsia"/>
                <w:lang w:eastAsia="en-AU"/>
              </w:rPr>
            </w:pPr>
            <w:r w:rsidRPr="00E6486A">
              <w:rPr>
                <w:rFonts w:eastAsiaTheme="minorEastAsia"/>
                <w:lang w:eastAsia="en-AU"/>
              </w:rPr>
              <w:t>10 416.8</w:t>
            </w:r>
          </w:p>
        </w:tc>
      </w:tr>
      <w:tr w:rsidR="00F60B5F" w:rsidRPr="00E6486A" w:rsidTr="00E6486A">
        <w:tc>
          <w:tcPr>
            <w:tcW w:w="4694" w:type="dxa"/>
            <w:tcBorders>
              <w:top w:val="single" w:sz="6" w:space="0" w:color="auto"/>
              <w:left w:val="nil"/>
              <w:bottom w:val="single" w:sz="12" w:space="0" w:color="auto"/>
              <w:right w:val="nil"/>
            </w:tcBorders>
          </w:tcPr>
          <w:p w:rsidR="00F60B5F" w:rsidRPr="00E6486A" w:rsidRDefault="00F60B5F" w:rsidP="00E6486A">
            <w:pPr>
              <w:pStyle w:val="Tabletext"/>
              <w:rPr>
                <w:rFonts w:eastAsiaTheme="minorEastAsia"/>
                <w:b/>
                <w:bCs/>
                <w:lang w:eastAsia="en-AU"/>
              </w:rPr>
            </w:pPr>
            <w:r w:rsidRPr="00E6486A">
              <w:rPr>
                <w:rFonts w:eastAsiaTheme="minorEastAsia"/>
                <w:b/>
                <w:bCs/>
                <w:lang w:eastAsia="en-AU"/>
              </w:rPr>
              <w:t>Total contingent liabilities</w:t>
            </w:r>
          </w:p>
        </w:tc>
        <w:tc>
          <w:tcPr>
            <w:tcW w:w="1440" w:type="dxa"/>
            <w:tcBorders>
              <w:top w:val="single" w:sz="6" w:space="0" w:color="auto"/>
              <w:left w:val="nil"/>
              <w:bottom w:val="single" w:sz="12" w:space="0" w:color="auto"/>
              <w:right w:val="nil"/>
            </w:tcBorders>
          </w:tcPr>
          <w:p w:rsidR="00F60B5F" w:rsidRPr="00E6486A" w:rsidRDefault="00F60B5F" w:rsidP="00E6486A">
            <w:pPr>
              <w:pStyle w:val="TableofFigures"/>
              <w:rPr>
                <w:rFonts w:eastAsiaTheme="minorEastAsia"/>
                <w:b/>
                <w:bCs/>
                <w:lang w:eastAsia="en-AU"/>
              </w:rPr>
            </w:pPr>
            <w:r w:rsidRPr="00E6486A">
              <w:rPr>
                <w:rFonts w:eastAsiaTheme="minorEastAsia"/>
                <w:b/>
                <w:bCs/>
                <w:lang w:eastAsia="en-AU"/>
              </w:rPr>
              <w:t>12 389.0</w:t>
            </w:r>
          </w:p>
        </w:tc>
        <w:tc>
          <w:tcPr>
            <w:tcW w:w="1642" w:type="dxa"/>
            <w:tcBorders>
              <w:top w:val="single" w:sz="6" w:space="0" w:color="auto"/>
              <w:left w:val="nil"/>
              <w:bottom w:val="single" w:sz="12" w:space="0" w:color="auto"/>
              <w:right w:val="nil"/>
            </w:tcBorders>
          </w:tcPr>
          <w:p w:rsidR="00F60B5F" w:rsidRPr="00E6486A" w:rsidRDefault="00F60B5F" w:rsidP="00E6486A">
            <w:pPr>
              <w:pStyle w:val="TableofFigures"/>
              <w:rPr>
                <w:rFonts w:eastAsiaTheme="minorEastAsia"/>
                <w:b/>
                <w:bCs/>
                <w:lang w:eastAsia="en-AU"/>
              </w:rPr>
            </w:pPr>
            <w:r w:rsidRPr="00E6486A">
              <w:rPr>
                <w:rFonts w:eastAsiaTheme="minorEastAsia"/>
                <w:b/>
                <w:bCs/>
                <w:lang w:eastAsia="en-AU"/>
              </w:rPr>
              <w:t>11 913.4</w:t>
            </w:r>
          </w:p>
        </w:tc>
      </w:tr>
    </w:tbl>
    <w:p w:rsidR="00F60B5F" w:rsidRPr="000971B6" w:rsidRDefault="00F60B5F" w:rsidP="003B3220">
      <w:pPr>
        <w:pStyle w:val="Notes"/>
      </w:pPr>
      <w:r w:rsidRPr="000971B6">
        <w:t>Notes:</w:t>
      </w:r>
    </w:p>
    <w:p w:rsidR="00F60B5F" w:rsidRPr="000971B6" w:rsidRDefault="00F60B5F" w:rsidP="003B3220">
      <w:pPr>
        <w:pStyle w:val="Notes"/>
      </w:pPr>
      <w:r w:rsidRPr="000971B6">
        <w:t xml:space="preserve">(a) </w:t>
      </w:r>
      <w:r w:rsidRPr="000971B6">
        <w:tab/>
        <w:t xml:space="preserve">As published in the </w:t>
      </w:r>
      <w:r w:rsidRPr="000971B6">
        <w:rPr>
          <w:i w:val="0"/>
        </w:rPr>
        <w:t>2013</w:t>
      </w:r>
      <w:r>
        <w:rPr>
          <w:i w:val="0"/>
        </w:rPr>
        <w:noBreakHyphen/>
      </w:r>
      <w:r w:rsidRPr="000971B6">
        <w:rPr>
          <w:i w:val="0"/>
        </w:rPr>
        <w:t>14 Budget</w:t>
      </w:r>
      <w:r w:rsidRPr="000971B6">
        <w:t>.</w:t>
      </w:r>
    </w:p>
    <w:p w:rsidR="00F60B5F" w:rsidRPr="000971B6" w:rsidRDefault="00F60B5F" w:rsidP="005060FA">
      <w:pPr>
        <w:pStyle w:val="Notes"/>
      </w:pPr>
      <w:r w:rsidRPr="000971B6">
        <w:t>(b)</w:t>
      </w:r>
      <w:r w:rsidRPr="000971B6">
        <w:rPr>
          <w:rStyle w:val="NotesChar"/>
        </w:rPr>
        <w:t xml:space="preserve"> </w:t>
      </w:r>
      <w:r w:rsidRPr="000971B6">
        <w:rPr>
          <w:rStyle w:val="NotesChar"/>
        </w:rPr>
        <w:tab/>
        <w:t>C</w:t>
      </w:r>
      <w:r w:rsidRPr="000971B6">
        <w:t xml:space="preserve">omparatives have been split out to show </w:t>
      </w:r>
      <w:r>
        <w:t>separately n</w:t>
      </w:r>
      <w:r w:rsidRPr="000971B6">
        <w:t>on</w:t>
      </w:r>
      <w:r>
        <w:noBreakHyphen/>
      </w:r>
      <w:r w:rsidRPr="000971B6">
        <w:t>general government debt.</w:t>
      </w:r>
    </w:p>
    <w:p w:rsidR="00F60B5F" w:rsidRPr="000971B6" w:rsidRDefault="00F60B5F" w:rsidP="00896B52">
      <w:pPr>
        <w:pStyle w:val="Heading2"/>
      </w:pPr>
      <w:r w:rsidRPr="000971B6">
        <w:t>Non</w:t>
      </w:r>
      <w:r>
        <w:noBreakHyphen/>
      </w:r>
      <w:r w:rsidRPr="000971B6">
        <w:t>quantifiable contingent liabilities</w:t>
      </w:r>
    </w:p>
    <w:p w:rsidR="00F60B5F" w:rsidRPr="000971B6" w:rsidRDefault="00F60B5F" w:rsidP="00E7186F">
      <w:r w:rsidRPr="000971B6">
        <w:t>A number of potential obligations are non</w:t>
      </w:r>
      <w:r>
        <w:noBreakHyphen/>
      </w:r>
      <w:r w:rsidRPr="000971B6">
        <w:t>quantifiable at this time arising from:</w:t>
      </w:r>
    </w:p>
    <w:p w:rsidR="00F60B5F" w:rsidRPr="000971B6" w:rsidRDefault="00F60B5F" w:rsidP="00A60ACC">
      <w:pPr>
        <w:pStyle w:val="BulletText"/>
      </w:pPr>
      <w:r w:rsidRPr="000971B6">
        <w:t>indemnities provided in relation to transactions, including financial arrangements and consultancy services, as well as for directors and administrators;</w:t>
      </w:r>
    </w:p>
    <w:p w:rsidR="00F60B5F" w:rsidRPr="000971B6" w:rsidRDefault="00F60B5F" w:rsidP="00A60ACC">
      <w:pPr>
        <w:pStyle w:val="BulletText"/>
      </w:pPr>
      <w:r w:rsidRPr="000971B6">
        <w:t>performance guarantees, warranties, letters of comfort and the like;</w:t>
      </w:r>
    </w:p>
    <w:p w:rsidR="00F60B5F" w:rsidRPr="000971B6" w:rsidRDefault="00F60B5F" w:rsidP="00A60ACC">
      <w:pPr>
        <w:pStyle w:val="BulletText"/>
      </w:pPr>
      <w:r w:rsidRPr="000971B6">
        <w:t>deeds in respect of certain obligations; and</w:t>
      </w:r>
    </w:p>
    <w:p w:rsidR="00F60B5F" w:rsidRPr="000971B6" w:rsidRDefault="00F60B5F" w:rsidP="00A60ACC">
      <w:pPr>
        <w:pStyle w:val="BulletText"/>
      </w:pPr>
      <w:r w:rsidRPr="000971B6">
        <w:t>unclaimed monies, which may be subject to future claims by the general public against the State.</w:t>
      </w:r>
    </w:p>
    <w:p w:rsidR="00F60B5F" w:rsidRPr="000971B6" w:rsidRDefault="00F60B5F" w:rsidP="00E7186F">
      <w:r w:rsidRPr="000971B6">
        <w:t>An overview of the more significant non</w:t>
      </w:r>
      <w:r>
        <w:noBreakHyphen/>
      </w:r>
      <w:r w:rsidRPr="000971B6">
        <w:t>quantifiable liabilities follows.</w:t>
      </w:r>
    </w:p>
    <w:p w:rsidR="00F60B5F" w:rsidRPr="000971B6" w:rsidRDefault="00F60B5F" w:rsidP="00EB331D">
      <w:pPr>
        <w:pStyle w:val="Heading3"/>
      </w:pPr>
      <w:r w:rsidRPr="00EB331D">
        <w:t>Asset</w:t>
      </w:r>
      <w:r w:rsidRPr="000971B6">
        <w:t xml:space="preserve"> sales</w:t>
      </w:r>
    </w:p>
    <w:p w:rsidR="00F60B5F" w:rsidRDefault="00F60B5F" w:rsidP="00B725DA">
      <w:r w:rsidRPr="000971B6">
        <w:t>Potential exposures are associated with the sale of a number of assets and services where the purchaser was provided with various indemnities and warranties.</w:t>
      </w:r>
      <w:r w:rsidRPr="000971B6">
        <w:rPr>
          <w:highlight w:val="yellow"/>
        </w:rPr>
        <w:t xml:space="preserve"> </w:t>
      </w:r>
    </w:p>
    <w:p w:rsidR="00F60B5F" w:rsidRPr="000971B6" w:rsidRDefault="00F60B5F" w:rsidP="00074362">
      <w:pPr>
        <w:pStyle w:val="Heading3"/>
      </w:pPr>
      <w:r>
        <w:t>National Electricity Code Administrator</w:t>
      </w:r>
    </w:p>
    <w:p w:rsidR="00F60B5F" w:rsidRPr="000971B6" w:rsidRDefault="00F60B5F" w:rsidP="00B725DA">
      <w:r w:rsidRPr="000971B6">
        <w:t>As part of the wind</w:t>
      </w:r>
      <w:r>
        <w:noBreakHyphen/>
      </w:r>
      <w:r w:rsidRPr="000971B6">
        <w:t>up of the National Electricity Code Administrator (NECA) the State of Victoria has undertaken to indemnify the actions of the NECA Directors for a period of seven years on completion of their tenure in 2015.</w:t>
      </w:r>
    </w:p>
    <w:p w:rsidR="00F60B5F" w:rsidRPr="000971B6" w:rsidRDefault="00F60B5F" w:rsidP="00B725DA">
      <w:pPr>
        <w:pStyle w:val="Heading3"/>
      </w:pPr>
      <w:r w:rsidRPr="000971B6">
        <w:t>Royal Melbourne Showgrounds redevelopment</w:t>
      </w:r>
    </w:p>
    <w:p w:rsidR="00F60B5F" w:rsidRPr="000971B6" w:rsidRDefault="00F60B5F" w:rsidP="00B725DA">
      <w:r w:rsidRPr="000971B6">
        <w:t>Under the State commitment to the Royal Agriculture Society of Victoria (RASV), the State has agreed to support certain obligations of RASV which may arise out of the joint venture agreement. In accordance with the terms set out in the State Commitment to RASV, the State will pay (in the form of a loan) the amount requested by RASV. If any outstanding loan amount remains unpaid at the date which is 25 years after the commencement of the operation term under the development and operation agreement, RASV will be obliged to satisfy and discharge each such outstanding loan amount. This may take the form of a transfer to the State, of the whole of the RASV participating interest in the joint venture.</w:t>
      </w:r>
    </w:p>
    <w:p w:rsidR="00F60B5F" w:rsidRPr="000971B6" w:rsidRDefault="00F60B5F" w:rsidP="00B725DA">
      <w:r w:rsidRPr="000971B6">
        <w:t>The State has also entered into an agreement throu</w:t>
      </w:r>
      <w:r>
        <w:t>gh the State Support Deed – Non</w:t>
      </w:r>
      <w:r>
        <w:noBreakHyphen/>
      </w:r>
      <w:r w:rsidRPr="000971B6">
        <w:t>Core Land with Showgrounds Retail Developments Pty Ltd and the RASV whereby the State agrees to support certain payment obligations of the RA</w:t>
      </w:r>
      <w:r>
        <w:t>SV that may arise under the non</w:t>
      </w:r>
      <w:r>
        <w:noBreakHyphen/>
      </w:r>
      <w:r w:rsidRPr="000971B6">
        <w:t>core development agreement.</w:t>
      </w:r>
    </w:p>
    <w:p w:rsidR="00F60B5F" w:rsidRPr="000971B6" w:rsidRDefault="00F60B5F" w:rsidP="004946D6">
      <w:pPr>
        <w:pStyle w:val="Heading3"/>
      </w:pPr>
      <w:r w:rsidRPr="000971B6">
        <w:t xml:space="preserve">Public transport rail partnership agreements </w:t>
      </w:r>
    </w:p>
    <w:p w:rsidR="00F60B5F" w:rsidRPr="000971B6" w:rsidRDefault="00F60B5F" w:rsidP="004946D6">
      <w:r w:rsidRPr="000971B6">
        <w:t>Public Transport Victoria (PTV) is party to partnership contractual arrangements with franchisees to operate metropolitan rail transport services in the State, operative from 30 November 2009 until 30 November 2017. The following summarises the major contingent liabilities arising from the contractual arrangements in the event of early termination or expiry of the partnership contractual agreement:</w:t>
      </w:r>
    </w:p>
    <w:p w:rsidR="00F60B5F" w:rsidRPr="000971B6" w:rsidRDefault="00F60B5F" w:rsidP="00A60ACC">
      <w:pPr>
        <w:pStyle w:val="BulletText"/>
      </w:pPr>
      <w:r w:rsidRPr="00827736">
        <w:t>partnership assets</w:t>
      </w:r>
      <w:r w:rsidRPr="000971B6">
        <w:t>: to maintain continuity of services, at early termination or expiry of the franchise contract, assets will revert to PTV or a successor. In the case of some assets, a reversion back to PTV would entail those assets being purchased; and</w:t>
      </w:r>
    </w:p>
    <w:p w:rsidR="00F60B5F" w:rsidRPr="000971B6" w:rsidRDefault="00F60B5F" w:rsidP="00A60ACC">
      <w:pPr>
        <w:pStyle w:val="BulletText"/>
      </w:pPr>
      <w:r w:rsidRPr="00827736">
        <w:t>unfunded superannuation</w:t>
      </w:r>
      <w:r w:rsidRPr="000971B6">
        <w:t>: at the early termination or expiry of the contract, PTV will assume any unfunded superannuation amounts (apart from contributions the operator is required to pay over the contract term) to the extent that the State becomes the successor operator.</w:t>
      </w:r>
      <w:r w:rsidRPr="000971B6">
        <w:rPr>
          <w:highlight w:val="yellow"/>
        </w:rPr>
        <w:t xml:space="preserve"> </w:t>
      </w:r>
    </w:p>
    <w:p w:rsidR="00F60B5F" w:rsidRPr="000971B6" w:rsidRDefault="00F60B5F" w:rsidP="00B12A6F">
      <w:pPr>
        <w:pStyle w:val="Heading3"/>
      </w:pPr>
      <w:r w:rsidRPr="000971B6">
        <w:t xml:space="preserve">Compulsory property acquisitions </w:t>
      </w:r>
    </w:p>
    <w:p w:rsidR="00F60B5F" w:rsidRPr="000971B6" w:rsidRDefault="00F60B5F" w:rsidP="00B12A6F">
      <w:r w:rsidRPr="000971B6">
        <w:t xml:space="preserve">The State has compulsorily acquired a number of properties (residential and commercial) through the </w:t>
      </w:r>
      <w:r w:rsidRPr="000971B6">
        <w:rPr>
          <w:i/>
        </w:rPr>
        <w:t>Land Acquisition and Compensation Act 1986</w:t>
      </w:r>
      <w:r w:rsidRPr="000971B6">
        <w:t xml:space="preserve"> to facilitate delivery of various projects. Possible future claims for compensation arising from the compulsory acquisition of these properties cannot be quantified at this stage.</w:t>
      </w:r>
      <w:r w:rsidRPr="000971B6">
        <w:rPr>
          <w:highlight w:val="yellow"/>
        </w:rPr>
        <w:t xml:space="preserve"> </w:t>
      </w:r>
    </w:p>
    <w:p w:rsidR="00F60B5F" w:rsidRPr="000971B6" w:rsidRDefault="00F60B5F" w:rsidP="00B12A6F">
      <w:pPr>
        <w:pStyle w:val="Heading3"/>
      </w:pPr>
      <w:r w:rsidRPr="000971B6">
        <w:t xml:space="preserve">Public acquisition overlays for the future development of rail and road infrastructure </w:t>
      </w:r>
    </w:p>
    <w:p w:rsidR="00F60B5F" w:rsidRPr="000971B6" w:rsidRDefault="00F60B5F" w:rsidP="00B12A6F">
      <w:r w:rsidRPr="000971B6">
        <w:t xml:space="preserve">Public acquisition overlays are </w:t>
      </w:r>
      <w:r>
        <w:t xml:space="preserve">in </w:t>
      </w:r>
      <w:r w:rsidRPr="000971B6">
        <w:t>place</w:t>
      </w:r>
      <w:r>
        <w:t>d</w:t>
      </w:r>
      <w:r w:rsidRPr="000971B6">
        <w:t xml:space="preserve"> in order to reserve certain areas of land for future development of rail and road infrastructure. Under section 98 of the </w:t>
      </w:r>
      <w:r w:rsidRPr="000971B6">
        <w:rPr>
          <w:i/>
        </w:rPr>
        <w:t>Planning and Environment Act 1987</w:t>
      </w:r>
      <w:r w:rsidRPr="000971B6">
        <w:t>, the State has a legislative responsibility to pay compensation to eligible land and property owners who face either:</w:t>
      </w:r>
    </w:p>
    <w:p w:rsidR="00F60B5F" w:rsidRPr="000971B6" w:rsidRDefault="00F60B5F" w:rsidP="00A60ACC">
      <w:pPr>
        <w:pStyle w:val="BulletText"/>
      </w:pPr>
      <w:r w:rsidRPr="000971B6">
        <w:t>loss on sale – an eligible landowner is entitled to compensation for the incremental loss on sale when a property affected by a public acquisition overlay is sold for less than its market value; or</w:t>
      </w:r>
    </w:p>
    <w:p w:rsidR="00F60B5F" w:rsidRPr="000971B6" w:rsidRDefault="00F60B5F" w:rsidP="00A60ACC">
      <w:pPr>
        <w:pStyle w:val="BulletText"/>
      </w:pPr>
      <w:r w:rsidRPr="000971B6">
        <w:t>financial loss – the entitlement to financial loss compensation is triggered when a development permit is refused because the property is required for a public purpose.</w:t>
      </w:r>
    </w:p>
    <w:p w:rsidR="00F60B5F" w:rsidRPr="000971B6" w:rsidRDefault="00F60B5F" w:rsidP="00B12A6F">
      <w:r w:rsidRPr="000971B6">
        <w:t>Compensation and purchase claims occur as a result of claims by land owners. The quantum of the future liability depends on factors including the number of claims received and the prevailing value of land at the time the claim is made, which cannot be reliably quantified.</w:t>
      </w:r>
      <w:r w:rsidRPr="000971B6">
        <w:rPr>
          <w:highlight w:val="yellow"/>
        </w:rPr>
        <w:t xml:space="preserve"> </w:t>
      </w:r>
    </w:p>
    <w:p w:rsidR="00F60B5F" w:rsidRPr="000971B6" w:rsidRDefault="00F60B5F" w:rsidP="00E80B31">
      <w:pPr>
        <w:pStyle w:val="Heading3"/>
      </w:pPr>
      <w:r w:rsidRPr="000971B6">
        <w:t>Land remediation – environmental concerns</w:t>
      </w:r>
    </w:p>
    <w:p w:rsidR="00F60B5F" w:rsidRPr="000971B6" w:rsidRDefault="00F60B5F" w:rsidP="00E80B31">
      <w:r w:rsidRPr="000971B6">
        <w:t>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of future developments taking place.</w:t>
      </w:r>
    </w:p>
    <w:p w:rsidR="00F60B5F" w:rsidRPr="000971B6" w:rsidRDefault="00F60B5F" w:rsidP="00991B53">
      <w:pPr>
        <w:pStyle w:val="Heading3"/>
      </w:pPr>
      <w:r w:rsidRPr="000971B6">
        <w:t>The Biosciences Research Centre</w:t>
      </w:r>
    </w:p>
    <w:p w:rsidR="00F60B5F" w:rsidRPr="000971B6" w:rsidRDefault="00F60B5F" w:rsidP="00991B53">
      <w:r w:rsidRPr="000971B6">
        <w:t>The service fee payment obligations of Biosciences Research Centre Pty Ltd (on behalf of the joint venture participants) are supported by the State of Victoria via a State support deed. Under this deed, the State ensures that the joint venture participants have the financial capacity to meet their payment obligations to the company, thereby enabling the company to meet its obligations to pay the service fee to the concessionaire pursuant to the project agreement. The State underwrites the risk of any default by the Biosciences Research Centre Pty Ltd.</w:t>
      </w:r>
    </w:p>
    <w:p w:rsidR="00F60B5F" w:rsidRPr="000971B6" w:rsidRDefault="00F60B5F" w:rsidP="004A6AF7">
      <w:pPr>
        <w:pStyle w:val="Heading3"/>
      </w:pPr>
      <w:r w:rsidRPr="000971B6">
        <w:t>Department of Education and Early Childhood Development</w:t>
      </w:r>
    </w:p>
    <w:p w:rsidR="00F60B5F" w:rsidRPr="000971B6" w:rsidRDefault="00F60B5F" w:rsidP="004A6AF7">
      <w:r w:rsidRPr="000971B6">
        <w:t>The Department has a number of unquantifiable contingent liabilities as follows:</w:t>
      </w:r>
    </w:p>
    <w:p w:rsidR="00F60B5F" w:rsidRPr="000971B6" w:rsidRDefault="00F60B5F" w:rsidP="004A6AF7">
      <w:r w:rsidRPr="000971B6">
        <w:t>Indemnities are provided by the Department to:</w:t>
      </w:r>
    </w:p>
    <w:p w:rsidR="00F60B5F" w:rsidRPr="000971B6" w:rsidRDefault="00F60B5F" w:rsidP="00A60ACC">
      <w:pPr>
        <w:pStyle w:val="BulletText"/>
      </w:pPr>
      <w:r w:rsidRPr="000971B6">
        <w:t xml:space="preserve">volunteer school workers and volunteer student workers: the </w:t>
      </w:r>
      <w:r w:rsidRPr="000971B6">
        <w:rPr>
          <w:i/>
        </w:rPr>
        <w:t>Education and Training Reform Act 2006</w:t>
      </w:r>
      <w:r w:rsidRPr="000971B6">
        <w:t xml:space="preserve"> provides a specific indemnity for personal injuries suffered by volunteer school workers and volunteer student workers arising out of or in the course of engaging in school work or community work respectively;</w:t>
      </w:r>
    </w:p>
    <w:p w:rsidR="00F60B5F" w:rsidRPr="000971B6" w:rsidRDefault="00F60B5F" w:rsidP="00A60ACC">
      <w:pPr>
        <w:pStyle w:val="BulletText"/>
      </w:pPr>
      <w:r w:rsidRPr="000971B6">
        <w:t xml:space="preserve">members of school councils: the </w:t>
      </w:r>
      <w:r w:rsidRPr="000971B6">
        <w:rPr>
          <w:i/>
        </w:rPr>
        <w:t>Education and Training Reform Act 2006</w:t>
      </w:r>
      <w:r w:rsidRPr="000971B6">
        <w:t xml:space="preserve"> provides an indemnity to members of school councils for any legal liability, whether in contract, negligence, defamation or other; and</w:t>
      </w:r>
    </w:p>
    <w:p w:rsidR="00F60B5F" w:rsidRPr="000971B6" w:rsidRDefault="00F60B5F" w:rsidP="00A60ACC">
      <w:pPr>
        <w:pStyle w:val="BulletText"/>
      </w:pPr>
      <w:r w:rsidRPr="000971B6">
        <w:t>teachers: in the event that a teacher is named as a defendant in a student personal injury claim, any costs and damages will generally be paid by the Department provided the teacher was not drunk, under the influence of illicit drugs or engaging in a criminal offence and the behaviour was not outrageous and was related to, or undertaken in the course of their employment.</w:t>
      </w:r>
    </w:p>
    <w:p w:rsidR="00F60B5F" w:rsidRDefault="00F60B5F" w:rsidP="00991B53">
      <w:pPr>
        <w:pStyle w:val="Heading3"/>
      </w:pPr>
      <w:r w:rsidRPr="000971B6">
        <w:t>Native Title</w:t>
      </w:r>
    </w:p>
    <w:p w:rsidR="00F60B5F" w:rsidRPr="0049539B" w:rsidRDefault="00F60B5F" w:rsidP="0049539B">
      <w:pPr>
        <w:rPr>
          <w:rFonts w:ascii="Calibri" w:hAnsi="Calibri"/>
          <w:b/>
          <w:i/>
          <w:kern w:val="28"/>
          <w:sz w:val="24"/>
          <w:szCs w:val="22"/>
        </w:rPr>
      </w:pPr>
      <w:r w:rsidRPr="0049539B">
        <w:t xml:space="preserve">A number of claims have been filed with the Federal Court under the Commonwealth </w:t>
      </w:r>
      <w:r w:rsidRPr="00F352FF">
        <w:rPr>
          <w:i/>
        </w:rPr>
        <w:t>Native Title Act 1993</w:t>
      </w:r>
      <w:r w:rsidRPr="0049539B">
        <w:t xml:space="preserve"> that affect Victoria. It is not feasible at this time to quantify any future liability. </w:t>
      </w:r>
    </w:p>
    <w:p w:rsidR="00F60B5F" w:rsidRDefault="00F60B5F">
      <w:pPr>
        <w:spacing w:after="0"/>
        <w:rPr>
          <w:rFonts w:ascii="Calibri" w:hAnsi="Calibri"/>
          <w:b/>
          <w:i/>
          <w:kern w:val="28"/>
          <w:sz w:val="24"/>
          <w:szCs w:val="22"/>
        </w:rPr>
      </w:pPr>
      <w:r>
        <w:br w:type="page"/>
      </w:r>
    </w:p>
    <w:p w:rsidR="00F60B5F" w:rsidRPr="000971B6" w:rsidRDefault="00F60B5F" w:rsidP="00991B53">
      <w:pPr>
        <w:pStyle w:val="Heading3"/>
      </w:pPr>
      <w:r w:rsidRPr="000971B6">
        <w:t>Victorian Managed Insurance Authority – Insurance cover</w:t>
      </w:r>
    </w:p>
    <w:p w:rsidR="00F60B5F" w:rsidRPr="000971B6" w:rsidRDefault="00F60B5F" w:rsidP="00991B53">
      <w:r w:rsidRPr="000971B6">
        <w:t xml:space="preserve">The Victorian Managed Insurance Authority (VMIA) was established in 1996 as an insurer for State Government departments, participating bodies and other entities as defined under the </w:t>
      </w:r>
      <w:r w:rsidRPr="000971B6">
        <w:rPr>
          <w:i/>
        </w:rPr>
        <w:t>Victorian Managed Insurance Authority Act 1996</w:t>
      </w:r>
      <w:r w:rsidRPr="000971B6">
        <w:t>. VMIA provides its clients with a range of insurance cover, including for property, public and products liability, professional indemnity and contract works. VMIA reinsures in the private market for losses above $50</w:t>
      </w:r>
      <w:r>
        <w:t> million</w:t>
      </w:r>
      <w:r w:rsidRPr="000971B6">
        <w:t xml:space="preserve"> arising out of any one occurrence, up to a maximum of $850</w:t>
      </w:r>
      <w:r>
        <w:t> million</w:t>
      </w:r>
      <w:r w:rsidRPr="000971B6">
        <w:t xml:space="preserve"> for public and products liability, and for losses above $50</w:t>
      </w:r>
      <w:r>
        <w:t> million</w:t>
      </w:r>
      <w:r w:rsidRPr="000971B6">
        <w:t xml:space="preserve"> arising out of any one event, up to a maximum of $3.05</w:t>
      </w:r>
      <w:r>
        <w:t> billion</w:t>
      </w:r>
      <w:r w:rsidRPr="000971B6">
        <w:t xml:space="preserve"> for property. The risk of losses above these reinsured levels is borne by the State.</w:t>
      </w:r>
    </w:p>
    <w:p w:rsidR="00F60B5F" w:rsidRPr="000971B6" w:rsidRDefault="00F60B5F" w:rsidP="00991B53">
      <w:r w:rsidRPr="000971B6">
        <w:t>VMIA also insures the Department of Health for all public sector medical indemnity claims incurred in each policy year from 1 July 2003, regardless of when claims are finally settled. Under the indemnity deed to provide stop loss protection for VMIA, the Department of Treasury and Finance has agreed to reimburse VMIA if the ultimate claims payouts exceed by more than 20</w:t>
      </w:r>
      <w:r>
        <w:t> per cent</w:t>
      </w:r>
      <w:r w:rsidRPr="000971B6">
        <w:t xml:space="preserve"> the initial estimate on which the risk premium was based.</w:t>
      </w:r>
    </w:p>
    <w:p w:rsidR="00F60B5F" w:rsidRPr="000971B6" w:rsidRDefault="00F60B5F" w:rsidP="00991B53">
      <w:pPr>
        <w:pStyle w:val="Heading3"/>
      </w:pPr>
      <w:r w:rsidRPr="000971B6">
        <w:t>Fiskville firefighting independent investigation</w:t>
      </w:r>
    </w:p>
    <w:p w:rsidR="00F60B5F" w:rsidRPr="000971B6" w:rsidRDefault="00F60B5F" w:rsidP="00991B53">
      <w:r w:rsidRPr="000971B6">
        <w:t xml:space="preserve">An independent investigation was undertaken into the historical use of chemicals for live fire fighting training at Fiskville between 1971 and 1999. The report of the independent investigation has been released and the Country Fire Authority has accepted all of the facts, recommendations and conclusions and is committed to implementing all recommendations. </w:t>
      </w:r>
    </w:p>
    <w:p w:rsidR="00F60B5F" w:rsidRPr="000971B6" w:rsidRDefault="00F60B5F" w:rsidP="00991B53">
      <w:r w:rsidRPr="000971B6">
        <w:t xml:space="preserve">In August 2012, </w:t>
      </w:r>
      <w:r>
        <w:t xml:space="preserve">the Country Fire Authority </w:t>
      </w:r>
      <w:r w:rsidRPr="000971B6">
        <w:t xml:space="preserve">established a Program Office to manage the implementation of the report’s recommendations and an additional 11 management initiatives to which </w:t>
      </w:r>
      <w:r>
        <w:t xml:space="preserve">the Country Fire Authority </w:t>
      </w:r>
      <w:r w:rsidRPr="000971B6">
        <w:t xml:space="preserve">Board committed in its response to </w:t>
      </w:r>
      <w:r>
        <w:t>the</w:t>
      </w:r>
      <w:r w:rsidRPr="000971B6">
        <w:t xml:space="preserve"> report. At this stage</w:t>
      </w:r>
      <w:r>
        <w:t>,</w:t>
      </w:r>
      <w:r w:rsidRPr="000971B6">
        <w:t xml:space="preserve"> it is impractical to quantify the financial effects as a result of the investigation’s recommendations.</w:t>
      </w:r>
    </w:p>
    <w:p w:rsidR="00F60B5F" w:rsidRPr="000971B6" w:rsidRDefault="00F60B5F" w:rsidP="00991B53">
      <w:pPr>
        <w:pStyle w:val="Heading3"/>
      </w:pPr>
      <w:r w:rsidRPr="000971B6">
        <w:t>Gambling licences</w:t>
      </w:r>
    </w:p>
    <w:p w:rsidR="00F60B5F" w:rsidRPr="000971B6" w:rsidRDefault="00F60B5F" w:rsidP="00991B53">
      <w:r w:rsidRPr="000971B6">
        <w:t xml:space="preserve">In 1992, a gaming operator’s licence was issued to the Trustees of the Will and Estate of the late George Adams, later succeeded by Tatts Group. In 1994, the State issued a wagering and gaming licence to Tabcorp Holdings Limited (Tabcorp). These licences expired in August 2012. The </w:t>
      </w:r>
      <w:r w:rsidRPr="000971B6">
        <w:rPr>
          <w:i/>
        </w:rPr>
        <w:t>Gambling Regulation Act 2003</w:t>
      </w:r>
      <w:r w:rsidRPr="000971B6">
        <w:t xml:space="preserve"> specified end of licence arrangements which included compensation provisions for the licensees predicated on the previous licensing arrangements being rolled over beyond their scheduled expiry date.</w:t>
      </w:r>
    </w:p>
    <w:p w:rsidR="00F60B5F" w:rsidRPr="000971B6" w:rsidRDefault="00F60B5F" w:rsidP="00991B53">
      <w:r w:rsidRPr="000971B6">
        <w:t>On 10 April 2008, the previous Government announced a new regulatory and licencing regime post August 2012. The main changes included:</w:t>
      </w:r>
    </w:p>
    <w:p w:rsidR="00F60B5F" w:rsidRPr="000971B6" w:rsidRDefault="00F60B5F" w:rsidP="00A60ACC">
      <w:pPr>
        <w:pStyle w:val="BulletText"/>
      </w:pPr>
      <w:r w:rsidRPr="000971B6">
        <w:t xml:space="preserve">separating the wagering and gaming licence to instead license wagering on a </w:t>
      </w:r>
      <w:r>
        <w:t>standalone</w:t>
      </w:r>
      <w:r w:rsidRPr="000971B6">
        <w:t xml:space="preserve"> basis; and</w:t>
      </w:r>
    </w:p>
    <w:p w:rsidR="00F60B5F" w:rsidRPr="000971B6" w:rsidRDefault="00F60B5F" w:rsidP="00A60ACC">
      <w:pPr>
        <w:pStyle w:val="BulletText"/>
      </w:pPr>
      <w:r w:rsidRPr="000971B6">
        <w:t>transitioning from the gaming operator duopoly to a system where venue operators are licensed to own and operate gaming machines in their own right.</w:t>
      </w:r>
    </w:p>
    <w:p w:rsidR="00F60B5F" w:rsidRPr="000971B6" w:rsidRDefault="00F60B5F" w:rsidP="00991B53">
      <w:r w:rsidRPr="000971B6">
        <w:t xml:space="preserve">After considering the end of licence arrangements in the </w:t>
      </w:r>
      <w:r w:rsidRPr="000971B6">
        <w:rPr>
          <w:i/>
        </w:rPr>
        <w:t>Gambling Regulation Act 2003</w:t>
      </w:r>
      <w:r w:rsidRPr="000971B6">
        <w:t>, the previous Government formed the view that neither Tatts Group nor Tabcorp were entitled to compensation after the expiration of their previous licences.</w:t>
      </w:r>
    </w:p>
    <w:p w:rsidR="00F60B5F" w:rsidRPr="000971B6" w:rsidRDefault="00F60B5F" w:rsidP="00991B53">
      <w:r w:rsidRPr="000971B6">
        <w:t>On 16 August 2012, Tatts Group commenced formal legal proceedings against the State. Tabcorp commenced proceedings on 24 August 2012. Each seeks, in essence, to hold the State to an obligation to provide compensation. Tatts Group is claiming $4</w:t>
      </w:r>
      <w:r>
        <w:t>90.50 million</w:t>
      </w:r>
      <w:r w:rsidRPr="000971B6">
        <w:t xml:space="preserve"> and in the alternative, remedies including damages and equitable compensation. Tabcorp is claiming $686.83</w:t>
      </w:r>
      <w:r>
        <w:t> million</w:t>
      </w:r>
      <w:r w:rsidRPr="000971B6">
        <w:t xml:space="preserve"> and various alternative relief including damages.</w:t>
      </w:r>
    </w:p>
    <w:p w:rsidR="00F60B5F" w:rsidRPr="000971B6" w:rsidRDefault="00F60B5F" w:rsidP="00991B53">
      <w:r w:rsidRPr="000971B6">
        <w:t>The Government will defend the State against both claims.</w:t>
      </w:r>
    </w:p>
    <w:p w:rsidR="00F60B5F" w:rsidRPr="000971B6" w:rsidRDefault="00F60B5F" w:rsidP="00991B53">
      <w:pPr>
        <w:pStyle w:val="Heading3"/>
      </w:pPr>
      <w:r w:rsidRPr="000971B6">
        <w:t xml:space="preserve">Health benefit levy </w:t>
      </w:r>
    </w:p>
    <w:p w:rsidR="00F60B5F" w:rsidRPr="000971B6" w:rsidRDefault="00F60B5F" w:rsidP="00991B53">
      <w:r w:rsidRPr="000971B6">
        <w:t xml:space="preserve">Under the </w:t>
      </w:r>
      <w:r w:rsidRPr="000971B6">
        <w:rPr>
          <w:i/>
        </w:rPr>
        <w:t>Gambling Regulation Act 2003</w:t>
      </w:r>
      <w:r w:rsidRPr="000971B6">
        <w:t xml:space="preserve">, the two former gaming operator licensees, Tabcorp and Tatts were required to pay a Health Benefit Levy. </w:t>
      </w:r>
    </w:p>
    <w:p w:rsidR="00F60B5F" w:rsidRPr="000971B6" w:rsidRDefault="00F60B5F" w:rsidP="00991B53">
      <w:r w:rsidRPr="000971B6">
        <w:t>On 1 May 2013, the Treasurer determined that Tabcorp’s and Tatts’ 2012</w:t>
      </w:r>
      <w:r>
        <w:noBreakHyphen/>
      </w:r>
      <w:r w:rsidRPr="000971B6">
        <w:t>13 levy was $42.1</w:t>
      </w:r>
      <w:r>
        <w:t> million</w:t>
      </w:r>
      <w:r w:rsidRPr="000971B6">
        <w:t xml:space="preserve"> and $42.6</w:t>
      </w:r>
      <w:r>
        <w:t> million</w:t>
      </w:r>
      <w:r w:rsidRPr="000971B6">
        <w:t xml:space="preserve"> respectively, on the basis that he did not have discretion under the Act to determine a pro</w:t>
      </w:r>
      <w:r>
        <w:t xml:space="preserve"> </w:t>
      </w:r>
      <w:r w:rsidRPr="000971B6">
        <w:t xml:space="preserve">rata based levy amount. </w:t>
      </w:r>
    </w:p>
    <w:p w:rsidR="00F60B5F" w:rsidRPr="000971B6" w:rsidRDefault="00F60B5F" w:rsidP="00991B53">
      <w:r w:rsidRPr="000971B6">
        <w:t>Tabcorp and Tatts subsequently commenced legal proceedings against the Treasurer in the Supreme Court of Victoria. Tabcorp and Tatts claim that the Treasurer had discretion under the Act to determine a pro</w:t>
      </w:r>
      <w:r>
        <w:t xml:space="preserve"> </w:t>
      </w:r>
      <w:r w:rsidRPr="000971B6">
        <w:t>rata based levy amount to reflect the 45 days they operated gaming machines in 2012</w:t>
      </w:r>
      <w:r>
        <w:noBreakHyphen/>
      </w:r>
      <w:r w:rsidRPr="000971B6">
        <w:t xml:space="preserve">13. </w:t>
      </w:r>
    </w:p>
    <w:p w:rsidR="00F60B5F" w:rsidRPr="000971B6" w:rsidRDefault="00F60B5F" w:rsidP="00991B53">
      <w:r w:rsidRPr="000971B6">
        <w:t xml:space="preserve">On 24 June 2013, a Supreme Court judgement was handed down in favour of Tabcorp and Tatts quashing the determinations. The Government has lodged an appeal to the Court of Appeal in the Supreme Court of Victoria, maintaining that the determinations are valid and that the Treasurer did not have discretion to adjust the application of the levy formula under the Act. </w:t>
      </w:r>
    </w:p>
    <w:p w:rsidR="00F60B5F" w:rsidRPr="000971B6" w:rsidRDefault="00F60B5F" w:rsidP="00991B53">
      <w:r w:rsidRPr="000971B6">
        <w:t xml:space="preserve">Tabcorp and Tatts had each paid the first instalment of the levy prior to the Supreme Court </w:t>
      </w:r>
      <w:r>
        <w:t>judgement</w:t>
      </w:r>
      <w:r w:rsidRPr="000971B6">
        <w:t>. The State’s solicitors are currently discussing with Tatts’ and Tabcorp’s solicitors an appropriate arrangement with respect to the monies that have been paid.</w:t>
      </w:r>
      <w:r w:rsidRPr="000971B6">
        <w:rPr>
          <w:highlight w:val="yellow"/>
        </w:rPr>
        <w:t xml:space="preserve"> </w:t>
      </w:r>
    </w:p>
    <w:p w:rsidR="00F60B5F" w:rsidRPr="000971B6" w:rsidRDefault="00F60B5F" w:rsidP="00991B53">
      <w:pPr>
        <w:pStyle w:val="Heading3"/>
      </w:pPr>
      <w:r w:rsidRPr="000971B6">
        <w:t xml:space="preserve">Melbourne Park redevelopment </w:t>
      </w:r>
    </w:p>
    <w:p w:rsidR="00F60B5F" w:rsidRPr="000971B6" w:rsidRDefault="00F60B5F" w:rsidP="00991B53">
      <w:r w:rsidRPr="000971B6">
        <w:t>The State entered into an agreement with Tennis Australia and the Melbourne and Olympic Park Trust for the Australian Open to remain at Melbourne Park until 2036. Stage 1 of the redevelopment of Melbourne Park (total estimated investment of $363</w:t>
      </w:r>
      <w:r>
        <w:t> million</w:t>
      </w:r>
      <w:r w:rsidRPr="000971B6">
        <w:t xml:space="preserve"> announced in the </w:t>
      </w:r>
      <w:r w:rsidRPr="00A020AC">
        <w:rPr>
          <w:i/>
        </w:rPr>
        <w:t>2010</w:t>
      </w:r>
      <w:r>
        <w:rPr>
          <w:i/>
        </w:rPr>
        <w:noBreakHyphen/>
      </w:r>
      <w:r w:rsidRPr="00A020AC">
        <w:rPr>
          <w:i/>
        </w:rPr>
        <w:t>11 Budget</w:t>
      </w:r>
      <w:r w:rsidRPr="000971B6">
        <w:t>) was negotiated at the same time. The agreement had a number of conditions, including that further improvements will be made to Melbourne Park or that a rights fee will be paid to Tennis Australia, if works beyond Stage 1 do not proceed for the Australian Open to remain at Melbourne Park.</w:t>
      </w:r>
      <w:r w:rsidRPr="000971B6">
        <w:rPr>
          <w:highlight w:val="yellow"/>
        </w:rPr>
        <w:t xml:space="preserve"> </w:t>
      </w:r>
    </w:p>
    <w:p w:rsidR="00F60B5F" w:rsidRDefault="00F60B5F">
      <w:pPr>
        <w:spacing w:after="0"/>
        <w:rPr>
          <w:rFonts w:ascii="Calibri" w:hAnsi="Calibri"/>
          <w:b/>
          <w:i/>
          <w:kern w:val="28"/>
          <w:sz w:val="24"/>
          <w:szCs w:val="22"/>
        </w:rPr>
      </w:pPr>
      <w:r>
        <w:br w:type="page"/>
      </w:r>
    </w:p>
    <w:p w:rsidR="00F60B5F" w:rsidRPr="000971B6" w:rsidRDefault="00F60B5F" w:rsidP="00991B53">
      <w:pPr>
        <w:pStyle w:val="Heading3"/>
      </w:pPr>
      <w:r w:rsidRPr="000971B6">
        <w:t xml:space="preserve">Melbourne metropolitan bus franchise </w:t>
      </w:r>
    </w:p>
    <w:p w:rsidR="00F60B5F" w:rsidRDefault="00F60B5F" w:rsidP="00991B53">
      <w:r w:rsidRPr="000971B6">
        <w:t>Public Transport Victoria is party to a franchise agreement with Transdev Australasia Pty Ltd to operate metropolitan bus services from 4 August 2013. The Melbourne metropolitan bus franchise may entail the acquisition of bus assets at the expiration or early termination of the franchise agreement.</w:t>
      </w:r>
      <w:r w:rsidRPr="000971B6">
        <w:rPr>
          <w:highlight w:val="yellow"/>
        </w:rPr>
        <w:t xml:space="preserve"> </w:t>
      </w:r>
    </w:p>
    <w:p w:rsidR="00F60B5F" w:rsidRDefault="00F60B5F" w:rsidP="00991B53"/>
    <w:p w:rsidR="00F60B5F" w:rsidRDefault="00F60B5F" w:rsidP="00856AFF"/>
    <w:p w:rsidR="00F60B5F" w:rsidRDefault="00F60B5F" w:rsidP="00856AFF">
      <w:pPr>
        <w:sectPr w:rsidR="00F60B5F" w:rsidSect="006C00BC">
          <w:footerReference w:type="even" r:id="rId35"/>
          <w:footerReference w:type="default" r:id="rId36"/>
          <w:type w:val="oddPage"/>
          <w:pgSz w:w="9979" w:h="14181" w:code="138"/>
          <w:pgMar w:top="1138" w:right="1138" w:bottom="1138" w:left="1138" w:header="720" w:footer="720" w:gutter="0"/>
          <w:cols w:space="708"/>
          <w:docGrid w:linePitch="360"/>
        </w:sectPr>
      </w:pPr>
    </w:p>
    <w:p w:rsidR="00F60B5F" w:rsidRPr="00A81468" w:rsidRDefault="00F60B5F" w:rsidP="00A81468">
      <w:pPr>
        <w:pStyle w:val="ChapterHeading"/>
      </w:pPr>
      <w:bookmarkStart w:id="56" w:name="_Toc374373963"/>
      <w:r w:rsidRPr="00A81468">
        <w:t>Appendix A – Specific policy initiatives affecting budget position</w:t>
      </w:r>
      <w:bookmarkEnd w:id="56"/>
    </w:p>
    <w:p w:rsidR="00F60B5F" w:rsidRDefault="00F60B5F" w:rsidP="009F65CA">
      <w:r>
        <w:t xml:space="preserve">Appendix A outlines specific Government policy initiatives that affect output, asset investment and revenue positions, including Treasurer’s Advances made since the </w:t>
      </w:r>
      <w:r w:rsidRPr="00F92D6F">
        <w:rPr>
          <w:i/>
        </w:rPr>
        <w:t>2013</w:t>
      </w:r>
      <w:r>
        <w:rPr>
          <w:i/>
        </w:rPr>
        <w:noBreakHyphen/>
      </w:r>
      <w:r w:rsidRPr="00F92D6F">
        <w:rPr>
          <w:i/>
        </w:rPr>
        <w:t>14 Budget</w:t>
      </w:r>
      <w:r>
        <w:t xml:space="preserve"> in May. The following tables provide details of:</w:t>
      </w:r>
    </w:p>
    <w:p w:rsidR="00F60B5F" w:rsidRPr="009F65CA" w:rsidRDefault="00F60B5F" w:rsidP="00002D4A">
      <w:pPr>
        <w:pStyle w:val="BulletText"/>
      </w:pPr>
      <w:r>
        <w:t>government</w:t>
      </w:r>
      <w:r>
        <w:noBreakHyphen/>
        <w:t xml:space="preserve">wide </w:t>
      </w:r>
      <w:r w:rsidRPr="009F65CA">
        <w:t>efficiency measures</w:t>
      </w:r>
      <w:r>
        <w:t>;</w:t>
      </w:r>
    </w:p>
    <w:p w:rsidR="00F60B5F" w:rsidRPr="009F65CA" w:rsidRDefault="00F60B5F" w:rsidP="00002D4A">
      <w:pPr>
        <w:pStyle w:val="BulletText"/>
      </w:pPr>
      <w:r>
        <w:t>government</w:t>
      </w:r>
      <w:r>
        <w:noBreakHyphen/>
        <w:t>wide revenue initiatives; and</w:t>
      </w:r>
    </w:p>
    <w:p w:rsidR="00F60B5F" w:rsidRDefault="00F60B5F" w:rsidP="00002D4A">
      <w:pPr>
        <w:pStyle w:val="BulletText"/>
      </w:pPr>
      <w:r>
        <w:t>output and asset initiatives for government departments.</w:t>
      </w:r>
    </w:p>
    <w:p w:rsidR="00F60B5F" w:rsidRDefault="00F60B5F" w:rsidP="009F65CA">
      <w:r>
        <w:t>Appendix A includes a cross reference between initiatives and their relevant departmental output(s) which aims to clearly indicate the impact of policy decisions on relevant portfolios and to reinforce the Government’s commitment to greater transparency and accountability in the budget papers.</w:t>
      </w:r>
    </w:p>
    <w:p w:rsidR="00F60B5F" w:rsidRDefault="00F60B5F" w:rsidP="009F65CA">
      <w:r>
        <w:t>The figures included are the total cost of decisions. Funding from reprioritisation and other sources has not been deducted from the total cost of decisions.</w:t>
      </w:r>
    </w:p>
    <w:p w:rsidR="00F60B5F" w:rsidRDefault="00F60B5F" w:rsidP="006C00BC">
      <w:pPr>
        <w:pStyle w:val="Heading1"/>
      </w:pPr>
      <w:bookmarkStart w:id="57" w:name="_Toc374373964"/>
      <w:r>
        <w:t xml:space="preserve">Efficiency </w:t>
      </w:r>
      <w:r w:rsidRPr="006C00BC">
        <w:t>measures</w:t>
      </w:r>
      <w:bookmarkEnd w:id="57"/>
    </w:p>
    <w:p w:rsidR="00F60B5F" w:rsidRDefault="00F60B5F" w:rsidP="004461CE">
      <w:pPr>
        <w:pStyle w:val="Tableheading"/>
        <w:rPr>
          <w:caps/>
        </w:rPr>
      </w:pPr>
      <w:r>
        <w:t>Table A.1</w:t>
      </w:r>
      <w:r>
        <w:rPr>
          <w:caps/>
        </w:rPr>
        <w:t>:</w:t>
      </w:r>
      <w:r>
        <w:rPr>
          <w:caps/>
        </w:rPr>
        <w:tab/>
      </w:r>
      <w:r>
        <w:t>Efficiency measures</w:t>
      </w:r>
    </w:p>
    <w:p w:rsidR="00F60B5F" w:rsidRDefault="00F60B5F" w:rsidP="00B82B7D">
      <w:pPr>
        <w:pStyle w:val="million"/>
        <w:rPr>
          <w:rFonts w:ascii="Times New Roman" w:hAnsi="Times New Roman"/>
          <w:sz w:val="20"/>
          <w:lang w:eastAsia="en-AU"/>
        </w:rPr>
      </w:pPr>
      <w:r w:rsidRPr="00CC7B17">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F60B5F" w:rsidRPr="00B82B7D" w:rsidTr="00B82B7D">
        <w:trPr>
          <w:cantSplit/>
          <w:tblHeader/>
        </w:trPr>
        <w:tc>
          <w:tcPr>
            <w:tcW w:w="3784" w:type="dxa"/>
            <w:tcBorders>
              <w:top w:val="single" w:sz="6" w:space="0" w:color="auto"/>
              <w:left w:val="single" w:sz="6" w:space="0" w:color="auto"/>
              <w:bottom w:val="single" w:sz="6" w:space="0" w:color="auto"/>
              <w:right w:val="nil"/>
            </w:tcBorders>
            <w:shd w:val="clear" w:color="000000" w:fill="000000"/>
          </w:tcPr>
          <w:p w:rsidR="00F60B5F" w:rsidRPr="00B82B7D" w:rsidRDefault="00F60B5F" w:rsidP="00B82B7D">
            <w:pPr>
              <w:pStyle w:val="Tabletext"/>
              <w:rPr>
                <w:rFonts w:eastAsiaTheme="minorEastAsia"/>
                <w:lang w:eastAsia="en-AU"/>
              </w:rPr>
            </w:pP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94" w:type="dxa"/>
            <w:tcBorders>
              <w:top w:val="single" w:sz="6" w:space="0" w:color="auto"/>
              <w:left w:val="nil"/>
              <w:bottom w:val="single" w:sz="6" w:space="0" w:color="auto"/>
              <w:right w:val="single" w:sz="6" w:space="0" w:color="auto"/>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r>
      <w:tr w:rsidR="00F60B5F" w:rsidRPr="00B82B7D" w:rsidTr="00B82B7D">
        <w:trPr>
          <w:cantSplit/>
        </w:trPr>
        <w:tc>
          <w:tcPr>
            <w:tcW w:w="3784" w:type="dxa"/>
            <w:tcBorders>
              <w:top w:val="single" w:sz="6" w:space="0" w:color="auto"/>
              <w:left w:val="nil"/>
              <w:bottom w:val="nil"/>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Energy Technology Innovation Strategy</w:t>
            </w:r>
            <w:r>
              <w:rPr>
                <w:rFonts w:eastAsiaTheme="minorEastAsia"/>
                <w:lang w:eastAsia="en-AU"/>
              </w:rPr>
              <w:t xml:space="preserve"> – </w:t>
            </w:r>
            <w:r w:rsidRPr="00B82B7D">
              <w:rPr>
                <w:rFonts w:eastAsiaTheme="minorEastAsia"/>
                <w:lang w:eastAsia="en-AU"/>
              </w:rPr>
              <w:t>Return of surplus funds</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10.0</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10.0</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10.0</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10.0</w:t>
            </w:r>
          </w:p>
        </w:tc>
      </w:tr>
      <w:tr w:rsidR="00F60B5F" w:rsidRPr="00B82B7D" w:rsidTr="00B82B7D">
        <w:trPr>
          <w:cantSplit/>
        </w:trPr>
        <w:tc>
          <w:tcPr>
            <w:tcW w:w="3784" w:type="dxa"/>
            <w:tcBorders>
              <w:top w:val="nil"/>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Regulatory efficiency</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14.0</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14.0</w:t>
            </w:r>
          </w:p>
        </w:tc>
      </w:tr>
      <w:tr w:rsidR="00F60B5F" w:rsidRPr="00B82B7D" w:rsidTr="00B82B7D">
        <w:trPr>
          <w:cantSplit/>
        </w:trPr>
        <w:tc>
          <w:tcPr>
            <w:tcW w:w="378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efficiency measures</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10.0</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10.0</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24.0</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24.0</w:t>
            </w:r>
          </w:p>
        </w:tc>
      </w:tr>
    </w:tbl>
    <w:p w:rsidR="00F60B5F" w:rsidRDefault="00F60B5F" w:rsidP="00723F02">
      <w:pPr>
        <w:pStyle w:val="Notes"/>
      </w:pPr>
    </w:p>
    <w:p w:rsidR="00F60B5F" w:rsidRDefault="00F60B5F" w:rsidP="00211899">
      <w:pPr>
        <w:pStyle w:val="Heading5"/>
      </w:pPr>
      <w:r>
        <w:t>Energy Technology Innovation Strategy – Return of surplus funds</w:t>
      </w:r>
    </w:p>
    <w:p w:rsidR="00F60B5F" w:rsidRDefault="00F60B5F" w:rsidP="00E44903">
      <w:r w:rsidRPr="00F366AE">
        <w:t xml:space="preserve">The Energy Technology Innovation Strategy </w:t>
      </w:r>
      <w:r>
        <w:t xml:space="preserve">fund </w:t>
      </w:r>
      <w:r w:rsidRPr="00F366AE">
        <w:t>will be re</w:t>
      </w:r>
      <w:r>
        <w:t>duce</w:t>
      </w:r>
      <w:r w:rsidRPr="00F366AE">
        <w:t>d from 2013</w:t>
      </w:r>
      <w:r>
        <w:noBreakHyphen/>
      </w:r>
      <w:r w:rsidRPr="00F366AE">
        <w:t>14</w:t>
      </w:r>
      <w:r>
        <w:t xml:space="preserve">. Funding had previously been set aside for some projects, including where projects are now not proceeding because the project proponents were unable to raise the required funds from alternate sources to meet the State funding agreements. </w:t>
      </w:r>
    </w:p>
    <w:p w:rsidR="00F60B5F" w:rsidRDefault="00F60B5F">
      <w:pPr>
        <w:spacing w:after="0"/>
        <w:rPr>
          <w:rFonts w:ascii="Calibri" w:hAnsi="Calibri"/>
          <w:b/>
        </w:rPr>
      </w:pPr>
      <w:r>
        <w:br w:type="page"/>
      </w:r>
    </w:p>
    <w:p w:rsidR="00F60B5F" w:rsidRDefault="00F60B5F" w:rsidP="00211899">
      <w:pPr>
        <w:pStyle w:val="Heading5"/>
      </w:pPr>
      <w:r>
        <w:t>Regulatory efficiency</w:t>
      </w:r>
    </w:p>
    <w:p w:rsidR="00F60B5F" w:rsidRPr="00B727B4" w:rsidRDefault="00F60B5F" w:rsidP="00B727B4">
      <w:r w:rsidRPr="00B727B4">
        <w:t xml:space="preserve">Victoria has approximately </w:t>
      </w:r>
      <w:r>
        <w:t>60</w:t>
      </w:r>
      <w:r w:rsidRPr="00B727B4">
        <w:t xml:space="preserve"> bodies that </w:t>
      </w:r>
      <w:r>
        <w:t>regulate business.</w:t>
      </w:r>
      <w:r w:rsidRPr="00B727B4">
        <w:t xml:space="preserve"> The Government is ens</w:t>
      </w:r>
      <w:r>
        <w:t>uring</w:t>
      </w:r>
      <w:r w:rsidRPr="00B727B4">
        <w:t xml:space="preserve"> that Victoria’s regulatory environment is efficient and reduces </w:t>
      </w:r>
      <w:r>
        <w:t xml:space="preserve">the </w:t>
      </w:r>
      <w:r w:rsidRPr="00B727B4">
        <w:t>burden on business without compromising regulatory outcomes.</w:t>
      </w:r>
    </w:p>
    <w:p w:rsidR="00F60B5F" w:rsidRDefault="00F60B5F" w:rsidP="00B727B4">
      <w:pPr>
        <w:rPr>
          <w:b/>
          <w:caps/>
        </w:rPr>
      </w:pPr>
      <w:r>
        <w:t>Regulators</w:t>
      </w:r>
      <w:r w:rsidRPr="00B727B4">
        <w:t xml:space="preserve"> will be reviewed in 2014 to improve th</w:t>
      </w:r>
      <w:r>
        <w:t>eir efficiency and performance.</w:t>
      </w:r>
      <w:r w:rsidRPr="00B727B4">
        <w:t xml:space="preserve"> Likely areas of focus </w:t>
      </w:r>
      <w:r>
        <w:t xml:space="preserve">will include the more substantial regulators as well as areas where multiple regulators regulate a single industry or sector. </w:t>
      </w:r>
      <w:r w:rsidRPr="00B727B4">
        <w:t xml:space="preserve">The review will </w:t>
      </w:r>
      <w:r>
        <w:t>identify</w:t>
      </w:r>
      <w:r w:rsidRPr="00B727B4">
        <w:t xml:space="preserve"> more efficient operating arrangements for the deli</w:t>
      </w:r>
      <w:r>
        <w:t>very of regulatory activities, f</w:t>
      </w:r>
      <w:r w:rsidRPr="00B727B4">
        <w:t>or example, through more streamline</w:t>
      </w:r>
      <w:r>
        <w:t>d administrative arrangements. As well as delivering operational savings for regulators, r</w:t>
      </w:r>
      <w:r w:rsidRPr="00B727B4">
        <w:t>eforms to improve the efficiency of regulators</w:t>
      </w:r>
      <w:r>
        <w:t>’</w:t>
      </w:r>
      <w:r w:rsidRPr="00B727B4">
        <w:t xml:space="preserve"> operations are also likely to lead to reduced </w:t>
      </w:r>
      <w:r>
        <w:t xml:space="preserve">regulatory burden on business. </w:t>
      </w:r>
      <w:r w:rsidRPr="00B727B4">
        <w:t>There will be no reduction in current regulatory safety and protection outcomes.</w:t>
      </w:r>
    </w:p>
    <w:p w:rsidR="00F60B5F" w:rsidRDefault="00F60B5F" w:rsidP="00B727B4">
      <w:pPr>
        <w:pStyle w:val="Heading1"/>
      </w:pPr>
      <w:bookmarkStart w:id="58" w:name="_Toc374373965"/>
      <w:r>
        <w:t>Revenue initiatives</w:t>
      </w:r>
      <w:bookmarkEnd w:id="58"/>
    </w:p>
    <w:p w:rsidR="00F60B5F" w:rsidRDefault="00F60B5F" w:rsidP="004461CE">
      <w:pPr>
        <w:pStyle w:val="Tableheading"/>
      </w:pPr>
      <w:r>
        <w:t>Table A.2:</w:t>
      </w:r>
      <w:r>
        <w:tab/>
        <w:t>Revenue initiatives</w:t>
      </w:r>
    </w:p>
    <w:p w:rsidR="00F60B5F" w:rsidRPr="00DC738F" w:rsidRDefault="00F60B5F" w:rsidP="00DC738F">
      <w:pPr>
        <w:pStyle w:val="million"/>
        <w:rPr>
          <w:sz w:val="15"/>
        </w:rPr>
      </w:pPr>
      <w:r w:rsidRPr="00960CF1">
        <w:rPr>
          <w:rFonts w:asciiTheme="minorHAnsi" w:hAnsiTheme="minorHAnsi" w:cstheme="minorHAnsi"/>
        </w:rPr>
        <w:t>($</w:t>
      </w:r>
      <w:r>
        <w:rPr>
          <w:rFonts w:asciiTheme="minorHAnsi" w:hAnsiTheme="minorHAnsi" w:cstheme="minorHAnsi"/>
        </w:rPr>
        <w:t> million)</w:t>
      </w:r>
    </w:p>
    <w:tbl>
      <w:tblPr>
        <w:tblW w:w="7760" w:type="dxa"/>
        <w:tblInd w:w="28" w:type="dxa"/>
        <w:tblLayout w:type="fixed"/>
        <w:tblCellMar>
          <w:left w:w="45" w:type="dxa"/>
          <w:right w:w="45" w:type="dxa"/>
        </w:tblCellMar>
        <w:tblLook w:val="0000" w:firstRow="0" w:lastRow="0" w:firstColumn="0" w:lastColumn="0" w:noHBand="0" w:noVBand="0"/>
      </w:tblPr>
      <w:tblGrid>
        <w:gridCol w:w="3977"/>
        <w:gridCol w:w="945"/>
        <w:gridCol w:w="946"/>
        <w:gridCol w:w="946"/>
        <w:gridCol w:w="946"/>
      </w:tblGrid>
      <w:tr w:rsidR="00F60B5F" w:rsidRPr="00DC738F" w:rsidTr="00DC738F">
        <w:tc>
          <w:tcPr>
            <w:tcW w:w="3977" w:type="dxa"/>
            <w:tcBorders>
              <w:top w:val="single" w:sz="6" w:space="0" w:color="auto"/>
              <w:left w:val="single" w:sz="6" w:space="0" w:color="auto"/>
              <w:bottom w:val="single" w:sz="6" w:space="0" w:color="auto"/>
              <w:right w:val="nil"/>
            </w:tcBorders>
            <w:shd w:val="clear" w:color="000000" w:fill="000000"/>
          </w:tcPr>
          <w:p w:rsidR="00F60B5F" w:rsidRPr="00DC738F" w:rsidRDefault="00F60B5F" w:rsidP="00DC738F">
            <w:pPr>
              <w:pStyle w:val="Tabletext"/>
              <w:rPr>
                <w:rFonts w:eastAsiaTheme="minorEastAsia"/>
                <w:lang w:eastAsia="en-AU"/>
              </w:rPr>
            </w:pPr>
          </w:p>
        </w:tc>
        <w:tc>
          <w:tcPr>
            <w:tcW w:w="945" w:type="dxa"/>
            <w:tcBorders>
              <w:top w:val="single" w:sz="6" w:space="0" w:color="auto"/>
              <w:left w:val="nil"/>
              <w:bottom w:val="single" w:sz="6" w:space="0" w:color="auto"/>
              <w:right w:val="nil"/>
            </w:tcBorders>
            <w:shd w:val="clear" w:color="000000" w:fill="000000"/>
          </w:tcPr>
          <w:p w:rsidR="00F60B5F" w:rsidRPr="00DC738F" w:rsidRDefault="00F60B5F" w:rsidP="00DC738F">
            <w:pPr>
              <w:pStyle w:val="Tabletextheading"/>
              <w:rPr>
                <w:rFonts w:eastAsiaTheme="minorEastAsia"/>
                <w:iCs/>
                <w:color w:val="FFFFFF"/>
                <w:lang w:eastAsia="en-AU"/>
              </w:rPr>
            </w:pPr>
            <w:r w:rsidRPr="00DC738F">
              <w:rPr>
                <w:rFonts w:eastAsiaTheme="minorEastAsia"/>
                <w:iCs/>
                <w:color w:val="FFFFFF"/>
                <w:lang w:eastAsia="en-AU"/>
              </w:rPr>
              <w:t>2013</w:t>
            </w:r>
            <w:r>
              <w:rPr>
                <w:rFonts w:eastAsiaTheme="minorEastAsia"/>
                <w:iCs/>
                <w:color w:val="FFFFFF"/>
                <w:lang w:eastAsia="en-AU"/>
              </w:rPr>
              <w:noBreakHyphen/>
            </w:r>
            <w:r w:rsidRPr="00DC738F">
              <w:rPr>
                <w:rFonts w:eastAsiaTheme="minorEastAsia"/>
                <w:iCs/>
                <w:color w:val="FFFFFF"/>
                <w:lang w:eastAsia="en-AU"/>
              </w:rPr>
              <w:t>14</w:t>
            </w:r>
          </w:p>
        </w:tc>
        <w:tc>
          <w:tcPr>
            <w:tcW w:w="946" w:type="dxa"/>
            <w:tcBorders>
              <w:top w:val="single" w:sz="6" w:space="0" w:color="auto"/>
              <w:left w:val="nil"/>
              <w:bottom w:val="single" w:sz="6" w:space="0" w:color="auto"/>
              <w:right w:val="nil"/>
            </w:tcBorders>
            <w:shd w:val="clear" w:color="000000" w:fill="000000"/>
          </w:tcPr>
          <w:p w:rsidR="00F60B5F" w:rsidRPr="00DC738F" w:rsidRDefault="00F60B5F" w:rsidP="00DC738F">
            <w:pPr>
              <w:pStyle w:val="Tabletextheading"/>
              <w:rPr>
                <w:rFonts w:eastAsiaTheme="minorEastAsia"/>
                <w:iCs/>
                <w:color w:val="FFFFFF"/>
                <w:lang w:eastAsia="en-AU"/>
              </w:rPr>
            </w:pPr>
            <w:r w:rsidRPr="00DC738F">
              <w:rPr>
                <w:rFonts w:eastAsiaTheme="minorEastAsia"/>
                <w:iCs/>
                <w:color w:val="FFFFFF"/>
                <w:lang w:eastAsia="en-AU"/>
              </w:rPr>
              <w:t>2014</w:t>
            </w:r>
            <w:r>
              <w:rPr>
                <w:rFonts w:eastAsiaTheme="minorEastAsia"/>
                <w:iCs/>
                <w:color w:val="FFFFFF"/>
                <w:lang w:eastAsia="en-AU"/>
              </w:rPr>
              <w:noBreakHyphen/>
            </w:r>
            <w:r w:rsidRPr="00DC738F">
              <w:rPr>
                <w:rFonts w:eastAsiaTheme="minorEastAsia"/>
                <w:iCs/>
                <w:color w:val="FFFFFF"/>
                <w:lang w:eastAsia="en-AU"/>
              </w:rPr>
              <w:t>15</w:t>
            </w:r>
          </w:p>
        </w:tc>
        <w:tc>
          <w:tcPr>
            <w:tcW w:w="946" w:type="dxa"/>
            <w:tcBorders>
              <w:top w:val="single" w:sz="6" w:space="0" w:color="auto"/>
              <w:left w:val="nil"/>
              <w:bottom w:val="single" w:sz="6" w:space="0" w:color="auto"/>
              <w:right w:val="nil"/>
            </w:tcBorders>
            <w:shd w:val="clear" w:color="000000" w:fill="000000"/>
          </w:tcPr>
          <w:p w:rsidR="00F60B5F" w:rsidRPr="00DC738F" w:rsidRDefault="00F60B5F" w:rsidP="00DC738F">
            <w:pPr>
              <w:pStyle w:val="Tabletextheading"/>
              <w:rPr>
                <w:rFonts w:eastAsiaTheme="minorEastAsia"/>
                <w:iCs/>
                <w:color w:val="FFFFFF"/>
                <w:lang w:eastAsia="en-AU"/>
              </w:rPr>
            </w:pPr>
            <w:r w:rsidRPr="00DC738F">
              <w:rPr>
                <w:rFonts w:eastAsiaTheme="minorEastAsia"/>
                <w:iCs/>
                <w:color w:val="FFFFFF"/>
                <w:lang w:eastAsia="en-AU"/>
              </w:rPr>
              <w:t>2015</w:t>
            </w:r>
            <w:r>
              <w:rPr>
                <w:rFonts w:eastAsiaTheme="minorEastAsia"/>
                <w:iCs/>
                <w:color w:val="FFFFFF"/>
                <w:lang w:eastAsia="en-AU"/>
              </w:rPr>
              <w:noBreakHyphen/>
            </w:r>
            <w:r w:rsidRPr="00DC738F">
              <w:rPr>
                <w:rFonts w:eastAsiaTheme="minorEastAsia"/>
                <w:iCs/>
                <w:color w:val="FFFFFF"/>
                <w:lang w:eastAsia="en-AU"/>
              </w:rPr>
              <w:t>16</w:t>
            </w:r>
          </w:p>
        </w:tc>
        <w:tc>
          <w:tcPr>
            <w:tcW w:w="946" w:type="dxa"/>
            <w:tcBorders>
              <w:top w:val="single" w:sz="6" w:space="0" w:color="auto"/>
              <w:left w:val="nil"/>
              <w:bottom w:val="single" w:sz="6" w:space="0" w:color="auto"/>
              <w:right w:val="single" w:sz="6" w:space="0" w:color="auto"/>
            </w:tcBorders>
            <w:shd w:val="clear" w:color="000000" w:fill="000000"/>
          </w:tcPr>
          <w:p w:rsidR="00F60B5F" w:rsidRPr="00DC738F" w:rsidRDefault="00F60B5F" w:rsidP="00DC738F">
            <w:pPr>
              <w:pStyle w:val="Tabletextheading"/>
              <w:rPr>
                <w:rFonts w:eastAsiaTheme="minorEastAsia"/>
                <w:iCs/>
                <w:color w:val="FFFFFF"/>
                <w:lang w:eastAsia="en-AU"/>
              </w:rPr>
            </w:pPr>
            <w:r w:rsidRPr="00DC738F">
              <w:rPr>
                <w:rFonts w:eastAsiaTheme="minorEastAsia"/>
                <w:iCs/>
                <w:color w:val="FFFFFF"/>
                <w:lang w:eastAsia="en-AU"/>
              </w:rPr>
              <w:t>2016</w:t>
            </w:r>
            <w:r>
              <w:rPr>
                <w:rFonts w:eastAsiaTheme="minorEastAsia"/>
                <w:iCs/>
                <w:color w:val="FFFFFF"/>
                <w:lang w:eastAsia="en-AU"/>
              </w:rPr>
              <w:noBreakHyphen/>
            </w:r>
            <w:r w:rsidRPr="00DC738F">
              <w:rPr>
                <w:rFonts w:eastAsiaTheme="minorEastAsia"/>
                <w:iCs/>
                <w:color w:val="FFFFFF"/>
                <w:lang w:eastAsia="en-AU"/>
              </w:rPr>
              <w:t>17</w:t>
            </w:r>
          </w:p>
        </w:tc>
      </w:tr>
      <w:tr w:rsidR="00F60B5F" w:rsidRPr="00DC738F" w:rsidTr="00DC738F">
        <w:tc>
          <w:tcPr>
            <w:tcW w:w="3977" w:type="dxa"/>
            <w:tcBorders>
              <w:top w:val="single" w:sz="6" w:space="0" w:color="auto"/>
              <w:left w:val="nil"/>
              <w:bottom w:val="nil"/>
              <w:right w:val="nil"/>
            </w:tcBorders>
          </w:tcPr>
          <w:p w:rsidR="00F60B5F" w:rsidRPr="00DC738F" w:rsidRDefault="00F60B5F" w:rsidP="00DC738F">
            <w:pPr>
              <w:pStyle w:val="Tabletext"/>
              <w:rPr>
                <w:rFonts w:eastAsiaTheme="minorEastAsia"/>
                <w:lang w:eastAsia="en-AU"/>
              </w:rPr>
            </w:pPr>
            <w:r w:rsidRPr="00DC738F">
              <w:rPr>
                <w:rFonts w:eastAsiaTheme="minorEastAsia"/>
                <w:lang w:eastAsia="en-AU"/>
              </w:rPr>
              <w:t>Expanding the congestion levy area</w:t>
            </w:r>
          </w:p>
        </w:tc>
        <w:tc>
          <w:tcPr>
            <w:tcW w:w="945" w:type="dxa"/>
            <w:tcBorders>
              <w:top w:val="single" w:sz="6" w:space="0" w:color="auto"/>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w:t>
            </w:r>
          </w:p>
        </w:tc>
        <w:tc>
          <w:tcPr>
            <w:tcW w:w="946" w:type="dxa"/>
            <w:tcBorders>
              <w:top w:val="single" w:sz="6" w:space="0" w:color="auto"/>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27.3</w:t>
            </w:r>
          </w:p>
        </w:tc>
        <w:tc>
          <w:tcPr>
            <w:tcW w:w="946" w:type="dxa"/>
            <w:tcBorders>
              <w:top w:val="single" w:sz="6" w:space="0" w:color="auto"/>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28.0</w:t>
            </w:r>
          </w:p>
        </w:tc>
        <w:tc>
          <w:tcPr>
            <w:tcW w:w="946" w:type="dxa"/>
            <w:tcBorders>
              <w:top w:val="single" w:sz="6" w:space="0" w:color="auto"/>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28.7</w:t>
            </w:r>
          </w:p>
        </w:tc>
      </w:tr>
      <w:tr w:rsidR="00F60B5F" w:rsidRPr="00DC738F" w:rsidTr="00DC738F">
        <w:tc>
          <w:tcPr>
            <w:tcW w:w="3977" w:type="dxa"/>
            <w:tcBorders>
              <w:top w:val="nil"/>
              <w:left w:val="nil"/>
              <w:bottom w:val="nil"/>
              <w:right w:val="nil"/>
            </w:tcBorders>
          </w:tcPr>
          <w:p w:rsidR="00F60B5F" w:rsidRPr="00DC738F" w:rsidRDefault="00F60B5F" w:rsidP="00DC738F">
            <w:pPr>
              <w:pStyle w:val="Tabletext"/>
              <w:rPr>
                <w:rFonts w:eastAsiaTheme="minorEastAsia"/>
                <w:lang w:eastAsia="en-AU"/>
              </w:rPr>
            </w:pPr>
            <w:r w:rsidRPr="00DC738F">
              <w:rPr>
                <w:rFonts w:eastAsiaTheme="minorEastAsia"/>
                <w:lang w:eastAsia="en-AU"/>
              </w:rPr>
              <w:t>Hotel and club electronic gaming machine tax</w:t>
            </w:r>
          </w:p>
        </w:tc>
        <w:tc>
          <w:tcPr>
            <w:tcW w:w="945"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17.7</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81.1</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87.4</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100.8</w:t>
            </w:r>
          </w:p>
        </w:tc>
      </w:tr>
      <w:tr w:rsidR="00F60B5F" w:rsidRPr="00DC738F" w:rsidTr="00DC738F">
        <w:tc>
          <w:tcPr>
            <w:tcW w:w="3977" w:type="dxa"/>
            <w:tcBorders>
              <w:top w:val="nil"/>
              <w:left w:val="nil"/>
              <w:bottom w:val="nil"/>
              <w:right w:val="nil"/>
            </w:tcBorders>
          </w:tcPr>
          <w:p w:rsidR="00F60B5F" w:rsidRPr="00DC738F" w:rsidRDefault="00F60B5F" w:rsidP="00DC738F">
            <w:pPr>
              <w:pStyle w:val="Tabletext"/>
              <w:rPr>
                <w:rFonts w:eastAsiaTheme="minorEastAsia"/>
                <w:lang w:eastAsia="en-AU"/>
              </w:rPr>
            </w:pPr>
            <w:r w:rsidRPr="00DC738F">
              <w:rPr>
                <w:rFonts w:eastAsiaTheme="minorEastAsia"/>
                <w:lang w:eastAsia="en-AU"/>
              </w:rPr>
              <w:t>Casino electronic gaming machine levy</w:t>
            </w:r>
          </w:p>
        </w:tc>
        <w:tc>
          <w:tcPr>
            <w:tcW w:w="945"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13.9</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56.8</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56.8</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56.8</w:t>
            </w:r>
          </w:p>
        </w:tc>
      </w:tr>
      <w:tr w:rsidR="00F60B5F" w:rsidRPr="00DC738F" w:rsidTr="00DC738F">
        <w:tc>
          <w:tcPr>
            <w:tcW w:w="3977" w:type="dxa"/>
            <w:tcBorders>
              <w:top w:val="nil"/>
              <w:left w:val="nil"/>
              <w:bottom w:val="nil"/>
              <w:right w:val="nil"/>
            </w:tcBorders>
          </w:tcPr>
          <w:p w:rsidR="00F60B5F" w:rsidRPr="00DC738F" w:rsidRDefault="00F60B5F" w:rsidP="00DC738F">
            <w:pPr>
              <w:pStyle w:val="Tabletext"/>
              <w:rPr>
                <w:rFonts w:eastAsiaTheme="minorEastAsia"/>
                <w:lang w:eastAsia="en-AU"/>
              </w:rPr>
            </w:pPr>
            <w:r w:rsidRPr="00DC738F">
              <w:rPr>
                <w:rFonts w:eastAsiaTheme="minorEastAsia"/>
                <w:lang w:eastAsia="en-AU"/>
              </w:rPr>
              <w:t>Public transport fare changes</w:t>
            </w:r>
          </w:p>
        </w:tc>
        <w:tc>
          <w:tcPr>
            <w:tcW w:w="945"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5.7</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21.1</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46.4</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61.2</w:t>
            </w:r>
          </w:p>
        </w:tc>
      </w:tr>
      <w:tr w:rsidR="00F60B5F" w:rsidRPr="00DC738F" w:rsidTr="00DC738F">
        <w:tc>
          <w:tcPr>
            <w:tcW w:w="3977" w:type="dxa"/>
            <w:tcBorders>
              <w:top w:val="nil"/>
              <w:left w:val="nil"/>
              <w:bottom w:val="nil"/>
              <w:right w:val="nil"/>
            </w:tcBorders>
          </w:tcPr>
          <w:p w:rsidR="00F60B5F" w:rsidRPr="00DC738F" w:rsidRDefault="00F60B5F" w:rsidP="00DC738F">
            <w:pPr>
              <w:pStyle w:val="Tabletext"/>
              <w:rPr>
                <w:rFonts w:eastAsiaTheme="minorEastAsia"/>
                <w:lang w:eastAsia="en-AU"/>
              </w:rPr>
            </w:pPr>
            <w:r w:rsidRPr="00DC738F">
              <w:rPr>
                <w:rFonts w:eastAsiaTheme="minorEastAsia"/>
                <w:lang w:eastAsia="en-AU"/>
              </w:rPr>
              <w:t>Regulatory cost recovery</w:t>
            </w:r>
          </w:p>
        </w:tc>
        <w:tc>
          <w:tcPr>
            <w:tcW w:w="945"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16.0</w:t>
            </w:r>
          </w:p>
        </w:tc>
        <w:tc>
          <w:tcPr>
            <w:tcW w:w="946" w:type="dxa"/>
            <w:tcBorders>
              <w:top w:val="nil"/>
              <w:left w:val="nil"/>
              <w:bottom w:val="nil"/>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16.0</w:t>
            </w:r>
          </w:p>
        </w:tc>
      </w:tr>
      <w:tr w:rsidR="00F60B5F" w:rsidRPr="00DC738F" w:rsidTr="00DC738F">
        <w:tc>
          <w:tcPr>
            <w:tcW w:w="3977" w:type="dxa"/>
            <w:tcBorders>
              <w:top w:val="nil"/>
              <w:left w:val="nil"/>
              <w:bottom w:val="single" w:sz="6" w:space="0" w:color="auto"/>
              <w:right w:val="nil"/>
            </w:tcBorders>
          </w:tcPr>
          <w:p w:rsidR="00F60B5F" w:rsidRPr="00DC738F" w:rsidRDefault="00F60B5F" w:rsidP="00DC738F">
            <w:pPr>
              <w:pStyle w:val="Tabletext"/>
              <w:rPr>
                <w:rFonts w:eastAsiaTheme="minorEastAsia"/>
                <w:lang w:eastAsia="en-AU"/>
              </w:rPr>
            </w:pPr>
            <w:r w:rsidRPr="00DC738F">
              <w:rPr>
                <w:rFonts w:eastAsiaTheme="minorEastAsia"/>
                <w:lang w:eastAsia="en-AU"/>
              </w:rPr>
              <w:t>Restore the real value of a fee unit</w:t>
            </w:r>
          </w:p>
        </w:tc>
        <w:tc>
          <w:tcPr>
            <w:tcW w:w="945" w:type="dxa"/>
            <w:tcBorders>
              <w:top w:val="nil"/>
              <w:left w:val="nil"/>
              <w:bottom w:val="single" w:sz="6" w:space="0" w:color="auto"/>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w:t>
            </w:r>
          </w:p>
        </w:tc>
        <w:tc>
          <w:tcPr>
            <w:tcW w:w="946" w:type="dxa"/>
            <w:tcBorders>
              <w:top w:val="nil"/>
              <w:left w:val="nil"/>
              <w:bottom w:val="single" w:sz="6" w:space="0" w:color="auto"/>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17.0</w:t>
            </w:r>
          </w:p>
        </w:tc>
        <w:tc>
          <w:tcPr>
            <w:tcW w:w="946" w:type="dxa"/>
            <w:tcBorders>
              <w:top w:val="nil"/>
              <w:left w:val="nil"/>
              <w:bottom w:val="single" w:sz="6" w:space="0" w:color="auto"/>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17.0</w:t>
            </w:r>
          </w:p>
        </w:tc>
        <w:tc>
          <w:tcPr>
            <w:tcW w:w="946" w:type="dxa"/>
            <w:tcBorders>
              <w:top w:val="nil"/>
              <w:left w:val="nil"/>
              <w:bottom w:val="single" w:sz="6" w:space="0" w:color="auto"/>
              <w:right w:val="nil"/>
            </w:tcBorders>
          </w:tcPr>
          <w:p w:rsidR="00F60B5F" w:rsidRPr="00DC738F" w:rsidRDefault="00F60B5F" w:rsidP="00DC738F">
            <w:pPr>
              <w:pStyle w:val="TableofFigures"/>
              <w:rPr>
                <w:rFonts w:eastAsiaTheme="minorEastAsia"/>
                <w:lang w:eastAsia="en-AU"/>
              </w:rPr>
            </w:pPr>
            <w:r w:rsidRPr="00DC738F">
              <w:rPr>
                <w:rFonts w:eastAsiaTheme="minorEastAsia"/>
                <w:lang w:eastAsia="en-AU"/>
              </w:rPr>
              <w:t xml:space="preserve"> 17.0</w:t>
            </w:r>
          </w:p>
        </w:tc>
      </w:tr>
      <w:tr w:rsidR="00F60B5F" w:rsidRPr="00DC738F" w:rsidTr="00DC738F">
        <w:tc>
          <w:tcPr>
            <w:tcW w:w="3977" w:type="dxa"/>
            <w:tcBorders>
              <w:top w:val="single" w:sz="6" w:space="0" w:color="auto"/>
              <w:left w:val="nil"/>
              <w:bottom w:val="single" w:sz="12" w:space="0" w:color="000000"/>
              <w:right w:val="nil"/>
            </w:tcBorders>
            <w:shd w:val="clear" w:color="auto" w:fill="auto"/>
          </w:tcPr>
          <w:p w:rsidR="00F60B5F" w:rsidRPr="00DC738F" w:rsidRDefault="00F60B5F" w:rsidP="00DC738F">
            <w:pPr>
              <w:pStyle w:val="Tabletext"/>
              <w:rPr>
                <w:rFonts w:eastAsiaTheme="minorEastAsia"/>
                <w:b/>
                <w:bCs/>
                <w:lang w:eastAsia="en-AU"/>
              </w:rPr>
            </w:pPr>
            <w:r w:rsidRPr="00DC738F">
              <w:rPr>
                <w:rFonts w:eastAsiaTheme="minorEastAsia"/>
                <w:b/>
                <w:bCs/>
                <w:lang w:eastAsia="en-AU"/>
              </w:rPr>
              <w:t>Total revenue initiatives</w:t>
            </w:r>
          </w:p>
        </w:tc>
        <w:tc>
          <w:tcPr>
            <w:tcW w:w="945" w:type="dxa"/>
            <w:tcBorders>
              <w:top w:val="single" w:sz="6" w:space="0" w:color="auto"/>
              <w:left w:val="nil"/>
              <w:bottom w:val="single" w:sz="12" w:space="0" w:color="000000"/>
              <w:right w:val="nil"/>
            </w:tcBorders>
            <w:shd w:val="clear" w:color="auto" w:fill="auto"/>
          </w:tcPr>
          <w:p w:rsidR="00F60B5F" w:rsidRPr="00DC738F" w:rsidRDefault="00F60B5F" w:rsidP="00DC738F">
            <w:pPr>
              <w:pStyle w:val="TableofFigures"/>
              <w:rPr>
                <w:rFonts w:eastAsiaTheme="minorEastAsia"/>
                <w:b/>
                <w:bCs/>
                <w:lang w:eastAsia="en-AU"/>
              </w:rPr>
            </w:pPr>
            <w:r w:rsidRPr="00DC738F">
              <w:rPr>
                <w:rFonts w:eastAsiaTheme="minorEastAsia"/>
                <w:b/>
                <w:bCs/>
                <w:lang w:eastAsia="en-AU"/>
              </w:rPr>
              <w:t xml:space="preserve"> 37.3</w:t>
            </w:r>
          </w:p>
        </w:tc>
        <w:tc>
          <w:tcPr>
            <w:tcW w:w="946" w:type="dxa"/>
            <w:tcBorders>
              <w:top w:val="single" w:sz="6" w:space="0" w:color="auto"/>
              <w:left w:val="nil"/>
              <w:bottom w:val="single" w:sz="12" w:space="0" w:color="000000"/>
              <w:right w:val="nil"/>
            </w:tcBorders>
            <w:shd w:val="clear" w:color="auto" w:fill="auto"/>
          </w:tcPr>
          <w:p w:rsidR="00F60B5F" w:rsidRPr="00DC738F" w:rsidRDefault="00F60B5F" w:rsidP="00DC738F">
            <w:pPr>
              <w:pStyle w:val="TableofFigures"/>
              <w:rPr>
                <w:rFonts w:eastAsiaTheme="minorEastAsia"/>
                <w:b/>
                <w:bCs/>
                <w:lang w:eastAsia="en-AU"/>
              </w:rPr>
            </w:pPr>
            <w:r w:rsidRPr="00DC738F">
              <w:rPr>
                <w:rFonts w:eastAsiaTheme="minorEastAsia"/>
                <w:b/>
                <w:bCs/>
                <w:lang w:eastAsia="en-AU"/>
              </w:rPr>
              <w:t xml:space="preserve"> 203.3</w:t>
            </w:r>
          </w:p>
        </w:tc>
        <w:tc>
          <w:tcPr>
            <w:tcW w:w="946" w:type="dxa"/>
            <w:tcBorders>
              <w:top w:val="single" w:sz="6" w:space="0" w:color="auto"/>
              <w:left w:val="nil"/>
              <w:bottom w:val="single" w:sz="12" w:space="0" w:color="000000"/>
              <w:right w:val="nil"/>
            </w:tcBorders>
            <w:shd w:val="clear" w:color="auto" w:fill="auto"/>
          </w:tcPr>
          <w:p w:rsidR="00F60B5F" w:rsidRPr="00DC738F" w:rsidRDefault="00F60B5F" w:rsidP="00DC738F">
            <w:pPr>
              <w:pStyle w:val="TableofFigures"/>
              <w:rPr>
                <w:rFonts w:eastAsiaTheme="minorEastAsia"/>
                <w:b/>
                <w:bCs/>
                <w:lang w:eastAsia="en-AU"/>
              </w:rPr>
            </w:pPr>
            <w:r w:rsidRPr="00DC738F">
              <w:rPr>
                <w:rFonts w:eastAsiaTheme="minorEastAsia"/>
                <w:b/>
                <w:bCs/>
                <w:lang w:eastAsia="en-AU"/>
              </w:rPr>
              <w:t xml:space="preserve"> 251.6</w:t>
            </w:r>
          </w:p>
        </w:tc>
        <w:tc>
          <w:tcPr>
            <w:tcW w:w="946" w:type="dxa"/>
            <w:tcBorders>
              <w:top w:val="single" w:sz="6" w:space="0" w:color="auto"/>
              <w:left w:val="nil"/>
              <w:bottom w:val="single" w:sz="12" w:space="0" w:color="000000"/>
              <w:right w:val="nil"/>
            </w:tcBorders>
            <w:shd w:val="clear" w:color="auto" w:fill="auto"/>
          </w:tcPr>
          <w:p w:rsidR="00F60B5F" w:rsidRPr="00DC738F" w:rsidRDefault="00F60B5F" w:rsidP="00DC738F">
            <w:pPr>
              <w:pStyle w:val="TableofFigures"/>
              <w:rPr>
                <w:rFonts w:eastAsiaTheme="minorEastAsia"/>
                <w:b/>
                <w:bCs/>
                <w:lang w:eastAsia="en-AU"/>
              </w:rPr>
            </w:pPr>
            <w:r w:rsidRPr="00DC738F">
              <w:rPr>
                <w:rFonts w:eastAsiaTheme="minorEastAsia"/>
                <w:b/>
                <w:bCs/>
                <w:lang w:eastAsia="en-AU"/>
              </w:rPr>
              <w:t xml:space="preserve"> 280.4</w:t>
            </w:r>
          </w:p>
        </w:tc>
      </w:tr>
    </w:tbl>
    <w:p w:rsidR="00F60B5F" w:rsidRDefault="00F60B5F" w:rsidP="00B82B7D">
      <w:pPr>
        <w:pStyle w:val="Notes"/>
      </w:pPr>
    </w:p>
    <w:p w:rsidR="00F60B5F" w:rsidRPr="00E44903" w:rsidRDefault="00F60B5F" w:rsidP="004461CE">
      <w:pPr>
        <w:pStyle w:val="Heading5"/>
      </w:pPr>
      <w:r>
        <w:t>Expanding the c</w:t>
      </w:r>
      <w:r w:rsidRPr="009F3C18">
        <w:t xml:space="preserve">ongestion </w:t>
      </w:r>
      <w:r>
        <w:t>l</w:t>
      </w:r>
      <w:r w:rsidRPr="009F3C18">
        <w:t>evy</w:t>
      </w:r>
      <w:r>
        <w:t xml:space="preserve"> area</w:t>
      </w:r>
    </w:p>
    <w:p w:rsidR="00F60B5F" w:rsidRDefault="00F60B5F" w:rsidP="008D17A3">
      <w:r>
        <w:t>The current congestion levy boundary will be expanded and new areas levied at a concessional rate of $950 per car space a year from 1 January 2015. This will address an anomaly that results under the current system whereby operators located near but outside the current boundary are unfairly advantaged. The levy will continue to be applied only to owners of non</w:t>
      </w:r>
      <w:r>
        <w:noBreakHyphen/>
        <w:t>residential, off</w:t>
      </w:r>
      <w:r>
        <w:noBreakHyphen/>
        <w:t>street car parking spaces. The existing exemptions will continue to apply.</w:t>
      </w:r>
    </w:p>
    <w:p w:rsidR="00F60B5F" w:rsidRDefault="00F60B5F" w:rsidP="008D17A3">
      <w:r>
        <w:t xml:space="preserve">The extension of the boundary recognises the impact of congestion in the areas surrounding the inner Melbourne area, and revenue from the levy will support the Government’s public transport and road infrastructure initiatives. </w:t>
      </w:r>
    </w:p>
    <w:p w:rsidR="00F60B5F" w:rsidRDefault="00F60B5F" w:rsidP="00364418">
      <w:pPr>
        <w:pStyle w:val="Heading5"/>
      </w:pPr>
      <w:r w:rsidRPr="00E44903">
        <w:t xml:space="preserve">Hotel </w:t>
      </w:r>
      <w:r>
        <w:t>and</w:t>
      </w:r>
      <w:r w:rsidRPr="00E44903">
        <w:t xml:space="preserve"> club</w:t>
      </w:r>
      <w:r>
        <w:t xml:space="preserve"> electronic</w:t>
      </w:r>
      <w:r w:rsidRPr="00E44903">
        <w:t xml:space="preserve"> gaming machine tax</w:t>
      </w:r>
    </w:p>
    <w:p w:rsidR="00F60B5F" w:rsidRDefault="00F60B5F" w:rsidP="00364418">
      <w:r>
        <w:t>In 2008, the previous Government announced that it would introduce a new industry structure for gaming machine entitlement ownership from August 2012, and that the State’s share of gaming machine revenue, through a new progressive tax system, would remain broadly similar. The previous tax rates maintained the State’s share at 36 to 38 per cent of gaming machine revenue.</w:t>
      </w:r>
    </w:p>
    <w:p w:rsidR="00F60B5F" w:rsidRDefault="00F60B5F" w:rsidP="00364418">
      <w:r w:rsidRPr="00BE568B">
        <w:t xml:space="preserve">Since the commencement of the </w:t>
      </w:r>
      <w:r>
        <w:t>new</w:t>
      </w:r>
      <w:r w:rsidRPr="00BE568B">
        <w:t xml:space="preserve"> arrangements, the Government’s taxation share reduced to 34</w:t>
      </w:r>
      <w:r>
        <w:t> per cent</w:t>
      </w:r>
      <w:r w:rsidRPr="00BE568B">
        <w:t xml:space="preserve"> in 2012</w:t>
      </w:r>
      <w:r>
        <w:noBreakHyphen/>
      </w:r>
      <w:r w:rsidRPr="00BE568B">
        <w:t>13, and</w:t>
      </w:r>
      <w:r>
        <w:t xml:space="preserve"> without government action</w:t>
      </w:r>
      <w:r w:rsidRPr="00BE568B">
        <w:t xml:space="preserve"> is expected to remain at 35</w:t>
      </w:r>
      <w:r>
        <w:t> per cent</w:t>
      </w:r>
      <w:r w:rsidRPr="00BE568B">
        <w:t xml:space="preserve"> in 2013</w:t>
      </w:r>
      <w:r>
        <w:noBreakHyphen/>
      </w:r>
      <w:r w:rsidRPr="00BE568B">
        <w:t xml:space="preserve">14 and the forward estimates. </w:t>
      </w:r>
    </w:p>
    <w:p w:rsidR="00F60B5F" w:rsidRDefault="00F60B5F" w:rsidP="00364418">
      <w:pPr>
        <w:rPr>
          <w:b/>
        </w:rPr>
      </w:pPr>
      <w:r>
        <w:t>From 1 April 2014, the two top tax brackets for hotel and club venue operators will be increased by 4.2 percentage points to restore the Government’s share of electronic gaming machine revenue to previous levels.</w:t>
      </w:r>
      <w:r>
        <w:rPr>
          <w:b/>
        </w:rPr>
        <w:t xml:space="preserve"> </w:t>
      </w:r>
      <w:r w:rsidRPr="00BE568B">
        <w:t>In addition, the minimum return to player ratio will be reduced from 87</w:t>
      </w:r>
      <w:r>
        <w:t> per cent</w:t>
      </w:r>
      <w:r w:rsidRPr="00BE568B">
        <w:t xml:space="preserve"> to 85</w:t>
      </w:r>
      <w:r>
        <w:t> per cent</w:t>
      </w:r>
      <w:r w:rsidRPr="00BE568B">
        <w:t xml:space="preserve">, </w:t>
      </w:r>
      <w:r>
        <w:t>providing greater options for venues in managing their operations and bringing Victoria into line with the ratio currently applied in New South Wales and Queensland.</w:t>
      </w:r>
    </w:p>
    <w:p w:rsidR="00F60B5F" w:rsidRPr="00E44903" w:rsidRDefault="00F60B5F" w:rsidP="004461CE">
      <w:pPr>
        <w:pStyle w:val="Heading5"/>
      </w:pPr>
      <w:r w:rsidRPr="00E44903">
        <w:t>Casino</w:t>
      </w:r>
      <w:r>
        <w:t xml:space="preserve"> electronic</w:t>
      </w:r>
      <w:r w:rsidRPr="00E44903">
        <w:t xml:space="preserve"> gaming machine </w:t>
      </w:r>
      <w:r>
        <w:t>levy</w:t>
      </w:r>
    </w:p>
    <w:p w:rsidR="00F60B5F" w:rsidRDefault="00F60B5F" w:rsidP="00BE568B">
      <w:r>
        <w:t>A per gaming machine levy on the casino operator will be introduced from 1 April 2014. The casino operator will be required to pay $5 550 per electronic gaming machine it is entitled to operate in 2013</w:t>
      </w:r>
      <w:r>
        <w:noBreakHyphen/>
        <w:t>14 and $22 715 per electronic gaming machine it is entitled to operate from 2014</w:t>
      </w:r>
      <w:r>
        <w:noBreakHyphen/>
        <w:t xml:space="preserve">15 onwards. In addition, the minimum return to player ratio will be reduced from 87 per cent to 85 per cent, in line with the ratio change for hotel and club venues. </w:t>
      </w:r>
    </w:p>
    <w:p w:rsidR="00F60B5F" w:rsidRDefault="00F60B5F" w:rsidP="00B727B4">
      <w:pPr>
        <w:pStyle w:val="Heading5"/>
      </w:pPr>
      <w:r>
        <w:t>Public transport fare changes</w:t>
      </w:r>
    </w:p>
    <w:p w:rsidR="00F60B5F" w:rsidRPr="00293A9D" w:rsidRDefault="00F60B5F" w:rsidP="00B82B7D">
      <w:r w:rsidRPr="00DB1ABD">
        <w:t>A number of changes will be made to public transport fares to ensure continued improvements in service delivery. These include the following.</w:t>
      </w:r>
    </w:p>
    <w:p w:rsidR="00F60B5F" w:rsidRPr="00293A9D" w:rsidRDefault="00F60B5F" w:rsidP="00293A9D">
      <w:r w:rsidRPr="00DB1ABD">
        <w:t xml:space="preserve">Public transport fares will increase by CPI </w:t>
      </w:r>
      <w:r>
        <w:t xml:space="preserve">plus </w:t>
      </w:r>
      <w:r w:rsidRPr="00DB1ABD">
        <w:t>2.5</w:t>
      </w:r>
      <w:r>
        <w:t> per cent</w:t>
      </w:r>
      <w:r w:rsidRPr="00DB1ABD">
        <w:t xml:space="preserve"> from 2015 to 2018, contributing to ongoing investment in the network. </w:t>
      </w:r>
    </w:p>
    <w:p w:rsidR="00F60B5F" w:rsidRPr="00293A9D" w:rsidRDefault="00F60B5F" w:rsidP="00B82B7D">
      <w:r w:rsidRPr="00DB1ABD">
        <w:t xml:space="preserve">The public transport weekend daily fare cap will be </w:t>
      </w:r>
      <w:r>
        <w:t>adjusted</w:t>
      </w:r>
      <w:r w:rsidRPr="00DB1ABD">
        <w:t xml:space="preserve"> to $6 from 1 January 2014. The current weekend daily cap on all metropolitan public transport travel provides a significant discount to weekend travel compared to the daily weekday fare. An increase to the daily weekend cap to $6 for Zone 1 </w:t>
      </w:r>
      <w:r>
        <w:t>and</w:t>
      </w:r>
      <w:r w:rsidRPr="00DB1ABD">
        <w:t xml:space="preserve"> 2 travel will better align weekend and weekday fares while still providing value for weekend travellers. </w:t>
      </w:r>
    </w:p>
    <w:p w:rsidR="00F60B5F" w:rsidRPr="00293A9D" w:rsidRDefault="00F60B5F" w:rsidP="00293A9D">
      <w:r w:rsidRPr="00DB1ABD">
        <w:t>Two hour fares will expire exactly two hours after touch on from 1 July 2014. Currently, two hour public transport fares expire two hours from the start of the next full hour. The fare change reduces complexity and is easier to administer than rounding to the start of the next full hour.</w:t>
      </w:r>
    </w:p>
    <w:p w:rsidR="00F60B5F" w:rsidRDefault="00F60B5F" w:rsidP="00DB1ABD">
      <w:pPr>
        <w:pStyle w:val="Heading5"/>
      </w:pPr>
      <w:r>
        <w:t>Regulatory cost recovery</w:t>
      </w:r>
    </w:p>
    <w:p w:rsidR="00F60B5F" w:rsidRDefault="00F60B5F" w:rsidP="0073442A">
      <w:r w:rsidRPr="00B727B4">
        <w:t xml:space="preserve">As part of the review of regulatory efficiency, the level of fees and charges applied by regulators to the private sector will be examined against cost recovery principles. </w:t>
      </w:r>
      <w:r>
        <w:t>Where the review finds that regulators do not recover cost</w:t>
      </w:r>
      <w:r>
        <w:noBreakHyphen/>
        <w:t>reflective fees and charges from regulated businesses, the review will consider opportunities to do so.</w:t>
      </w:r>
      <w:r w:rsidRPr="00B727B4">
        <w:t xml:space="preserve"> The final mix of efficiency and cost recovery initiatives will be determined through the review process over the course of 2014.</w:t>
      </w:r>
    </w:p>
    <w:p w:rsidR="00F60B5F" w:rsidRDefault="00F60B5F" w:rsidP="00293A9D">
      <w:pPr>
        <w:pStyle w:val="Heading5"/>
      </w:pPr>
      <w:r w:rsidRPr="00E44903">
        <w:t>Resto</w:t>
      </w:r>
      <w:r>
        <w:t>re the real value of a fee unit</w:t>
      </w:r>
    </w:p>
    <w:p w:rsidR="00F60B5F" w:rsidRPr="0073442A" w:rsidRDefault="00F60B5F" w:rsidP="00BD533A">
      <w:pPr>
        <w:rPr>
          <w:rFonts w:ascii="Calibri" w:hAnsi="Calibri"/>
          <w:b/>
        </w:rPr>
      </w:pPr>
      <w:r w:rsidRPr="0073442A">
        <w:t>A number of government fees and charges are adjusted each year by the automatic indexation of fee units. Since the introduction of automatic indexation, the value of a fee unit has fallen behind general price inflation in the economy</w:t>
      </w:r>
      <w:r>
        <w:t xml:space="preserve">. </w:t>
      </w:r>
      <w:r w:rsidRPr="0073442A">
        <w:t>This measure realigns the real value of fee units with the real value of a fee unit when introduced in 2003</w:t>
      </w:r>
      <w:r>
        <w:noBreakHyphen/>
      </w:r>
      <w:r w:rsidRPr="0073442A">
        <w:t>04.</w:t>
      </w:r>
    </w:p>
    <w:p w:rsidR="00F60B5F" w:rsidRPr="0035226B" w:rsidRDefault="00F60B5F" w:rsidP="0035226B">
      <w:pPr>
        <w:pStyle w:val="Heading1"/>
      </w:pPr>
      <w:bookmarkStart w:id="59" w:name="_Toc374373966"/>
      <w:r>
        <w:t>Department of Health</w:t>
      </w:r>
      <w:bookmarkEnd w:id="59"/>
    </w:p>
    <w:p w:rsidR="00F60B5F" w:rsidRDefault="00F60B5F" w:rsidP="001F5996">
      <w:pPr>
        <w:pStyle w:val="Heading3"/>
      </w:pPr>
      <w:r>
        <w:t>Output initiatives</w:t>
      </w:r>
    </w:p>
    <w:p w:rsidR="00F60B5F" w:rsidRPr="007B2978" w:rsidRDefault="00F60B5F" w:rsidP="004461CE">
      <w:pPr>
        <w:pStyle w:val="Tableheading"/>
      </w:pPr>
      <w:r>
        <w:t>Table A.3:</w:t>
      </w:r>
      <w:r>
        <w:tab/>
        <w:t>Output initiatives – Health</w:t>
      </w:r>
    </w:p>
    <w:p w:rsidR="00F60B5F" w:rsidRPr="004F320E" w:rsidRDefault="00F60B5F" w:rsidP="004F320E">
      <w:pPr>
        <w:pStyle w:val="million"/>
        <w:rPr>
          <w:rFonts w:ascii="Times New Roman" w:hAnsi="Times New Roman"/>
          <w:sz w:val="20"/>
          <w:lang w:eastAsia="en-AU"/>
        </w:rPr>
      </w:pPr>
      <w:r w:rsidRPr="003A54CE">
        <w:t>($</w:t>
      </w:r>
      <w:r>
        <w:t> million</w:t>
      </w:r>
      <w:r w:rsidRPr="003A54CE">
        <w:t>)</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F60B5F" w:rsidRPr="00B82B7D" w:rsidTr="00B82B7D">
        <w:trPr>
          <w:cantSplit/>
          <w:tblHeader/>
        </w:trPr>
        <w:tc>
          <w:tcPr>
            <w:tcW w:w="3784" w:type="dxa"/>
            <w:tcBorders>
              <w:top w:val="single" w:sz="6" w:space="0" w:color="000000"/>
              <w:left w:val="single" w:sz="6" w:space="0" w:color="000000"/>
              <w:bottom w:val="single" w:sz="6" w:space="0" w:color="000000"/>
              <w:right w:val="nil"/>
            </w:tcBorders>
            <w:shd w:val="clear" w:color="000000" w:fill="000000"/>
          </w:tcPr>
          <w:p w:rsidR="00F60B5F" w:rsidRPr="00B82B7D" w:rsidRDefault="00F60B5F" w:rsidP="00B82B7D">
            <w:pPr>
              <w:pStyle w:val="Tabletext"/>
              <w:rPr>
                <w:rFonts w:eastAsiaTheme="minorEastAsia"/>
                <w:lang w:eastAsia="en-AU"/>
              </w:rPr>
            </w:pPr>
          </w:p>
        </w:tc>
        <w:tc>
          <w:tcPr>
            <w:tcW w:w="994"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94"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94"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94" w:type="dxa"/>
            <w:tcBorders>
              <w:top w:val="single" w:sz="6" w:space="0" w:color="000000"/>
              <w:left w:val="nil"/>
              <w:bottom w:val="single" w:sz="6" w:space="0" w:color="000000"/>
              <w:right w:val="single" w:sz="6" w:space="0" w:color="000000"/>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r>
      <w:tr w:rsidR="00F60B5F" w:rsidRPr="00B82B7D" w:rsidTr="00B82B7D">
        <w:trPr>
          <w:cantSplit/>
        </w:trPr>
        <w:tc>
          <w:tcPr>
            <w:tcW w:w="3784" w:type="dxa"/>
            <w:tcBorders>
              <w:top w:val="single" w:sz="6" w:space="0" w:color="000000"/>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Peter Doherty Institute</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1.4</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1.4</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1.4</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1.4</w:t>
            </w:r>
          </w:p>
        </w:tc>
      </w:tr>
      <w:tr w:rsidR="00F60B5F" w:rsidRPr="00B82B7D" w:rsidTr="00B82B7D">
        <w:trPr>
          <w:cantSplit/>
        </w:trPr>
        <w:tc>
          <w:tcPr>
            <w:tcW w:w="378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output initiatives</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1.4</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1.4</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1.4</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1.4</w:t>
            </w:r>
          </w:p>
        </w:tc>
      </w:tr>
    </w:tbl>
    <w:p w:rsidR="00F60B5F" w:rsidRDefault="00F60B5F" w:rsidP="001F5996">
      <w:pPr>
        <w:pStyle w:val="Source"/>
      </w:pPr>
    </w:p>
    <w:p w:rsidR="00F60B5F" w:rsidRDefault="00F60B5F" w:rsidP="00A168C6">
      <w:pPr>
        <w:pStyle w:val="Heading5"/>
      </w:pPr>
      <w:r>
        <w:t>Peter Doherty Institute</w:t>
      </w:r>
    </w:p>
    <w:p w:rsidR="00F60B5F" w:rsidRDefault="00F60B5F" w:rsidP="00A168C6">
      <w:r w:rsidRPr="004628F4">
        <w:t xml:space="preserve">Funding is provided to Melbourne Health </w:t>
      </w:r>
      <w:r>
        <w:t xml:space="preserve">to </w:t>
      </w:r>
      <w:r w:rsidRPr="004628F4">
        <w:t xml:space="preserve">meet lease costs associated with </w:t>
      </w:r>
      <w:r>
        <w:t xml:space="preserve">the </w:t>
      </w:r>
      <w:r w:rsidRPr="004628F4">
        <w:t>Victorian Infectious Diseases Laboratory</w:t>
      </w:r>
      <w:r>
        <w:t>’s</w:t>
      </w:r>
      <w:r w:rsidRPr="004628F4">
        <w:t xml:space="preserve"> co</w:t>
      </w:r>
      <w:r>
        <w:noBreakHyphen/>
      </w:r>
      <w:r w:rsidRPr="004628F4">
        <w:t>location with the Peter Doherty Institute</w:t>
      </w:r>
      <w:r>
        <w:t>.</w:t>
      </w:r>
    </w:p>
    <w:p w:rsidR="00F60B5F" w:rsidRDefault="00F60B5F" w:rsidP="00A168C6">
      <w:r>
        <w:t>This initiative contributes to the Department of Health’s Non</w:t>
      </w:r>
      <w:r>
        <w:noBreakHyphen/>
        <w:t>Admitted Services output.</w:t>
      </w:r>
    </w:p>
    <w:p w:rsidR="00F60B5F" w:rsidRDefault="00F60B5F" w:rsidP="001F5996">
      <w:pPr>
        <w:pStyle w:val="Heading3"/>
      </w:pPr>
      <w:r>
        <w:t>Asset initiatives</w:t>
      </w:r>
    </w:p>
    <w:p w:rsidR="00F60B5F" w:rsidRPr="007B2978" w:rsidRDefault="00F60B5F" w:rsidP="004461CE">
      <w:pPr>
        <w:pStyle w:val="Tableheading"/>
      </w:pPr>
      <w:r>
        <w:t>Table A.4:</w:t>
      </w:r>
      <w:r>
        <w:tab/>
        <w:t>Asset initiatives – Health</w:t>
      </w:r>
    </w:p>
    <w:p w:rsidR="00F60B5F" w:rsidRPr="004F320E" w:rsidRDefault="00F60B5F" w:rsidP="004F320E">
      <w:pPr>
        <w:pStyle w:val="million"/>
        <w:rPr>
          <w:rFonts w:ascii="Times New Roman" w:hAnsi="Times New Roman"/>
          <w:sz w:val="20"/>
          <w:lang w:eastAsia="en-AU"/>
        </w:rPr>
      </w:pPr>
      <w:r w:rsidRPr="000C1A7A">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2790"/>
        <w:gridCol w:w="994"/>
        <w:gridCol w:w="994"/>
        <w:gridCol w:w="994"/>
        <w:gridCol w:w="994"/>
        <w:gridCol w:w="994"/>
      </w:tblGrid>
      <w:tr w:rsidR="00F60B5F" w:rsidRPr="00B82B7D" w:rsidTr="00B82B7D">
        <w:trPr>
          <w:cantSplit/>
          <w:tblHeader/>
        </w:trPr>
        <w:tc>
          <w:tcPr>
            <w:tcW w:w="2790" w:type="dxa"/>
            <w:tcBorders>
              <w:top w:val="single" w:sz="6" w:space="0" w:color="000000"/>
              <w:left w:val="single" w:sz="6" w:space="0" w:color="000000"/>
              <w:bottom w:val="single" w:sz="6" w:space="0" w:color="000000"/>
              <w:right w:val="nil"/>
            </w:tcBorders>
            <w:shd w:val="clear" w:color="000000" w:fill="000000"/>
          </w:tcPr>
          <w:p w:rsidR="00F60B5F" w:rsidRPr="00B82B7D" w:rsidRDefault="00F60B5F" w:rsidP="00B82B7D">
            <w:pPr>
              <w:pStyle w:val="Tabletext"/>
              <w:rPr>
                <w:rFonts w:eastAsiaTheme="minorEastAsia"/>
                <w:lang w:eastAsia="en-AU"/>
              </w:rPr>
            </w:pPr>
          </w:p>
        </w:tc>
        <w:tc>
          <w:tcPr>
            <w:tcW w:w="994"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94"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94"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94"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c>
          <w:tcPr>
            <w:tcW w:w="994" w:type="dxa"/>
            <w:tcBorders>
              <w:top w:val="single" w:sz="6" w:space="0" w:color="000000"/>
              <w:left w:val="nil"/>
              <w:bottom w:val="single" w:sz="6" w:space="0" w:color="000000"/>
              <w:right w:val="single" w:sz="6" w:space="0" w:color="000000"/>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TEI</w:t>
            </w:r>
          </w:p>
        </w:tc>
      </w:tr>
      <w:tr w:rsidR="00F60B5F" w:rsidRPr="00B82B7D" w:rsidTr="00B82B7D">
        <w:trPr>
          <w:cantSplit/>
        </w:trPr>
        <w:tc>
          <w:tcPr>
            <w:tcW w:w="2790" w:type="dxa"/>
            <w:tcBorders>
              <w:top w:val="single" w:sz="6" w:space="0" w:color="000000"/>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Mildura Hospital</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37.7</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000000"/>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37.7</w:t>
            </w:r>
          </w:p>
        </w:tc>
      </w:tr>
      <w:tr w:rsidR="00F60B5F" w:rsidRPr="00B82B7D" w:rsidTr="00B82B7D">
        <w:trPr>
          <w:cantSplit/>
        </w:trPr>
        <w:tc>
          <w:tcPr>
            <w:tcW w:w="2790"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asset initiatives</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37.7</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37.7</w:t>
            </w:r>
          </w:p>
        </w:tc>
      </w:tr>
    </w:tbl>
    <w:p w:rsidR="00F60B5F" w:rsidRPr="00CD364C" w:rsidRDefault="00F60B5F" w:rsidP="00CD364C">
      <w:pPr>
        <w:pStyle w:val="Source"/>
      </w:pPr>
    </w:p>
    <w:p w:rsidR="00F60B5F" w:rsidRDefault="00F60B5F" w:rsidP="004C6D69">
      <w:pPr>
        <w:pStyle w:val="Heading5"/>
      </w:pPr>
      <w:r>
        <w:t>Mildura Hospital</w:t>
      </w:r>
    </w:p>
    <w:p w:rsidR="00F60B5F" w:rsidRDefault="00F60B5F" w:rsidP="004C6D69">
      <w:r w:rsidRPr="004628F4">
        <w:t>The Government has purchased the Mildura Base Hosp</w:t>
      </w:r>
      <w:r>
        <w:t>ital asset from the Motor Trade</w:t>
      </w:r>
      <w:r w:rsidRPr="004628F4">
        <w:t>s Association of Australia to return it to public ownership.</w:t>
      </w:r>
    </w:p>
    <w:p w:rsidR="00F60B5F" w:rsidRDefault="00F60B5F" w:rsidP="004C6D69">
      <w:r>
        <w:t>This initiative contributes to the Department of Health’s Admitted Services output.</w:t>
      </w:r>
    </w:p>
    <w:p w:rsidR="00F60B5F" w:rsidRPr="0035226B" w:rsidRDefault="00F60B5F" w:rsidP="0035226B">
      <w:pPr>
        <w:pStyle w:val="Heading1"/>
      </w:pPr>
      <w:bookmarkStart w:id="60" w:name="_Toc374373967"/>
      <w:r w:rsidRPr="0035226B">
        <w:t>Department of Justice</w:t>
      </w:r>
      <w:bookmarkEnd w:id="60"/>
    </w:p>
    <w:p w:rsidR="00F60B5F" w:rsidRDefault="00F60B5F" w:rsidP="001F5996">
      <w:pPr>
        <w:pStyle w:val="Heading3"/>
      </w:pPr>
      <w:r>
        <w:t>Output initiatives</w:t>
      </w:r>
    </w:p>
    <w:p w:rsidR="00F60B5F" w:rsidRPr="007B2978" w:rsidRDefault="00F60B5F" w:rsidP="004461CE">
      <w:pPr>
        <w:pStyle w:val="Tableheading"/>
      </w:pPr>
      <w:r>
        <w:t>Table A.5:</w:t>
      </w:r>
      <w:r>
        <w:tab/>
        <w:t>Output initiatives – Justice</w:t>
      </w:r>
    </w:p>
    <w:p w:rsidR="00F60B5F" w:rsidRPr="004F320E" w:rsidRDefault="00F60B5F" w:rsidP="004F320E">
      <w:pPr>
        <w:pStyle w:val="million"/>
        <w:rPr>
          <w:rFonts w:ascii="Times New Roman" w:hAnsi="Times New Roman"/>
          <w:sz w:val="20"/>
          <w:lang w:eastAsia="en-AU"/>
        </w:rPr>
      </w:pPr>
      <w:r w:rsidRPr="00A445F4">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4067"/>
        <w:gridCol w:w="923"/>
        <w:gridCol w:w="923"/>
        <w:gridCol w:w="923"/>
        <w:gridCol w:w="924"/>
      </w:tblGrid>
      <w:tr w:rsidR="00F60B5F" w:rsidRPr="00B82B7D" w:rsidTr="00EB331D">
        <w:trPr>
          <w:cantSplit/>
          <w:tblHeader/>
        </w:trPr>
        <w:tc>
          <w:tcPr>
            <w:tcW w:w="4067" w:type="dxa"/>
            <w:tcBorders>
              <w:top w:val="single" w:sz="6" w:space="0" w:color="000000"/>
              <w:left w:val="single" w:sz="6" w:space="0" w:color="000000"/>
              <w:bottom w:val="single" w:sz="6" w:space="0" w:color="000000"/>
              <w:right w:val="nil"/>
            </w:tcBorders>
            <w:shd w:val="clear" w:color="000000" w:fill="000000"/>
          </w:tcPr>
          <w:p w:rsidR="00F60B5F" w:rsidRPr="00B82B7D" w:rsidRDefault="00F60B5F" w:rsidP="00B82B7D">
            <w:pPr>
              <w:pStyle w:val="Tabletext"/>
              <w:rPr>
                <w:rFonts w:eastAsiaTheme="minorEastAsia"/>
                <w:lang w:eastAsia="en-AU"/>
              </w:rPr>
            </w:pPr>
          </w:p>
        </w:tc>
        <w:tc>
          <w:tcPr>
            <w:tcW w:w="923"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23"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23" w:type="dxa"/>
            <w:tcBorders>
              <w:top w:val="single" w:sz="6" w:space="0" w:color="000000"/>
              <w:left w:val="nil"/>
              <w:bottom w:val="single" w:sz="6" w:space="0" w:color="000000"/>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24" w:type="dxa"/>
            <w:tcBorders>
              <w:top w:val="single" w:sz="6" w:space="0" w:color="000000"/>
              <w:left w:val="nil"/>
              <w:bottom w:val="single" w:sz="6" w:space="0" w:color="000000"/>
              <w:right w:val="single" w:sz="6" w:space="0" w:color="000000"/>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r>
      <w:tr w:rsidR="00F60B5F" w:rsidRPr="00B82B7D" w:rsidTr="00EB331D">
        <w:trPr>
          <w:cantSplit/>
        </w:trPr>
        <w:tc>
          <w:tcPr>
            <w:tcW w:w="4067" w:type="dxa"/>
            <w:tcBorders>
              <w:top w:val="single" w:sz="6" w:space="0" w:color="000000"/>
              <w:left w:val="nil"/>
              <w:bottom w:val="nil"/>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Prison capacity expansion</w:t>
            </w:r>
          </w:p>
        </w:tc>
        <w:tc>
          <w:tcPr>
            <w:tcW w:w="923" w:type="dxa"/>
            <w:tcBorders>
              <w:top w:val="single" w:sz="6" w:space="0" w:color="000000"/>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12.3</w:t>
            </w:r>
          </w:p>
        </w:tc>
        <w:tc>
          <w:tcPr>
            <w:tcW w:w="923" w:type="dxa"/>
            <w:tcBorders>
              <w:top w:val="single" w:sz="6" w:space="0" w:color="000000"/>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58.8</w:t>
            </w:r>
          </w:p>
        </w:tc>
        <w:tc>
          <w:tcPr>
            <w:tcW w:w="923" w:type="dxa"/>
            <w:tcBorders>
              <w:top w:val="single" w:sz="6" w:space="0" w:color="000000"/>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83.2</w:t>
            </w:r>
          </w:p>
        </w:tc>
        <w:tc>
          <w:tcPr>
            <w:tcW w:w="924" w:type="dxa"/>
            <w:tcBorders>
              <w:top w:val="single" w:sz="6" w:space="0" w:color="000000"/>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85.2</w:t>
            </w:r>
          </w:p>
        </w:tc>
      </w:tr>
      <w:tr w:rsidR="00F60B5F" w:rsidRPr="00B82B7D" w:rsidTr="00EB331D">
        <w:trPr>
          <w:cantSplit/>
        </w:trPr>
        <w:tc>
          <w:tcPr>
            <w:tcW w:w="4067" w:type="dxa"/>
            <w:tcBorders>
              <w:top w:val="nil"/>
              <w:left w:val="nil"/>
              <w:bottom w:val="nil"/>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Police information technology refresh</w:t>
            </w:r>
          </w:p>
        </w:tc>
        <w:tc>
          <w:tcPr>
            <w:tcW w:w="923"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26.8</w:t>
            </w:r>
          </w:p>
        </w:tc>
        <w:tc>
          <w:tcPr>
            <w:tcW w:w="923"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23"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24"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EB331D">
        <w:trPr>
          <w:cantSplit/>
        </w:trPr>
        <w:tc>
          <w:tcPr>
            <w:tcW w:w="4067" w:type="dxa"/>
            <w:tcBorders>
              <w:top w:val="nil"/>
              <w:left w:val="nil"/>
              <w:bottom w:val="nil"/>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 xml:space="preserve">Sports Integrity Intelligence Unit </w:t>
            </w:r>
          </w:p>
        </w:tc>
        <w:tc>
          <w:tcPr>
            <w:tcW w:w="923"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w:t>
            </w:r>
          </w:p>
        </w:tc>
        <w:tc>
          <w:tcPr>
            <w:tcW w:w="923"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w:t>
            </w:r>
          </w:p>
        </w:tc>
        <w:tc>
          <w:tcPr>
            <w:tcW w:w="923"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24"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EB331D">
        <w:trPr>
          <w:cantSplit/>
        </w:trPr>
        <w:tc>
          <w:tcPr>
            <w:tcW w:w="4067" w:type="dxa"/>
            <w:tcBorders>
              <w:top w:val="nil"/>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Summer fire information and education strategy</w:t>
            </w:r>
          </w:p>
        </w:tc>
        <w:tc>
          <w:tcPr>
            <w:tcW w:w="923"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3.5</w:t>
            </w:r>
          </w:p>
        </w:tc>
        <w:tc>
          <w:tcPr>
            <w:tcW w:w="923"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23"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2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EB331D">
        <w:trPr>
          <w:cantSplit/>
        </w:trPr>
        <w:tc>
          <w:tcPr>
            <w:tcW w:w="4067"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output initiatives</w:t>
            </w:r>
          </w:p>
        </w:tc>
        <w:tc>
          <w:tcPr>
            <w:tcW w:w="923"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43.6</w:t>
            </w:r>
          </w:p>
        </w:tc>
        <w:tc>
          <w:tcPr>
            <w:tcW w:w="923"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59.9</w:t>
            </w:r>
          </w:p>
        </w:tc>
        <w:tc>
          <w:tcPr>
            <w:tcW w:w="923"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83.2</w:t>
            </w:r>
          </w:p>
        </w:tc>
        <w:tc>
          <w:tcPr>
            <w:tcW w:w="92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85.2</w:t>
            </w:r>
          </w:p>
        </w:tc>
      </w:tr>
    </w:tbl>
    <w:p w:rsidR="00F60B5F" w:rsidRDefault="00F60B5F" w:rsidP="001F5996">
      <w:pPr>
        <w:pStyle w:val="Source"/>
      </w:pPr>
    </w:p>
    <w:p w:rsidR="00F60B5F" w:rsidRDefault="00F60B5F" w:rsidP="008B2B0F">
      <w:pPr>
        <w:pStyle w:val="Heading5"/>
      </w:pPr>
      <w:r>
        <w:t xml:space="preserve">Prison capacity expansion </w:t>
      </w:r>
    </w:p>
    <w:p w:rsidR="00F60B5F" w:rsidRDefault="00F60B5F" w:rsidP="008B2B0F">
      <w:r>
        <w:t xml:space="preserve">This initiative will provide an additional 673 prison beds and bed units at various prison locations in order to meet growth in the prisoner population. </w:t>
      </w:r>
    </w:p>
    <w:p w:rsidR="00F60B5F" w:rsidRDefault="00F60B5F" w:rsidP="008B2B0F">
      <w:r>
        <w:t>This initiative contributes to the Department of Justice’s Prisoner Supervision and Support output.</w:t>
      </w:r>
    </w:p>
    <w:p w:rsidR="00F60B5F" w:rsidRDefault="00F60B5F" w:rsidP="000338B9">
      <w:pPr>
        <w:pStyle w:val="Heading5"/>
      </w:pPr>
      <w:r>
        <w:t>Police information technology refresh</w:t>
      </w:r>
    </w:p>
    <w:p w:rsidR="00F60B5F" w:rsidRPr="009E5A12" w:rsidRDefault="00F60B5F" w:rsidP="008B2B0F">
      <w:r w:rsidRPr="009E5A12">
        <w:t>This investment will upgrade the majority of Victoria Police's age</w:t>
      </w:r>
      <w:r>
        <w:t>ing Information Technology (IT)</w:t>
      </w:r>
      <w:r w:rsidRPr="009E5A12">
        <w:t xml:space="preserve"> infrastructure, including software and back</w:t>
      </w:r>
      <w:r>
        <w:noBreakHyphen/>
      </w:r>
      <w:r w:rsidRPr="009E5A12">
        <w:t>end support to provide a contemporary, reliable and secure IT infrastructure environment.</w:t>
      </w:r>
    </w:p>
    <w:p w:rsidR="00F60B5F" w:rsidRDefault="00F60B5F" w:rsidP="008B2B0F">
      <w:r>
        <w:t>This initiative contributes to the Department of Justice’s Policing Services output.</w:t>
      </w:r>
    </w:p>
    <w:p w:rsidR="00F60B5F" w:rsidRDefault="00F60B5F" w:rsidP="008B2B0F">
      <w:pPr>
        <w:pStyle w:val="Heading5"/>
      </w:pPr>
      <w:r>
        <w:t>Sports Integrity Intelligence Unit</w:t>
      </w:r>
    </w:p>
    <w:p w:rsidR="00F60B5F" w:rsidRDefault="00F60B5F" w:rsidP="008B2B0F">
      <w:r>
        <w:t xml:space="preserve">The Sports Integrity Intelligence Unit has been established in Victoria Police to investigate allegations of organised crime in sport. The Sports Integrity Intelligence Unit will inform Victoria Police’s response to issues surrounding illicit drugs, betting and organised crime in sporting codes. </w:t>
      </w:r>
    </w:p>
    <w:p w:rsidR="00F60B5F" w:rsidRDefault="00F60B5F" w:rsidP="008B2B0F">
      <w:r>
        <w:t>This initiative contributes to the Department of Justice’s Policing Services output.</w:t>
      </w:r>
    </w:p>
    <w:p w:rsidR="00F60B5F" w:rsidRDefault="00F60B5F" w:rsidP="008B2B0F">
      <w:pPr>
        <w:pStyle w:val="Heading5"/>
      </w:pPr>
      <w:r>
        <w:t>Summer fire information and education strategy</w:t>
      </w:r>
    </w:p>
    <w:p w:rsidR="00F60B5F" w:rsidRDefault="00F60B5F" w:rsidP="008B2B0F">
      <w:r>
        <w:t xml:space="preserve">The summer fire information and education strategy is part of a whole of government fire communications strategy, which will provide Victorians with information through the development and distribution of advertising campaigns to assist in their preparation and actions if threatened by a fire. </w:t>
      </w:r>
    </w:p>
    <w:p w:rsidR="00F60B5F" w:rsidRPr="008B2B0F" w:rsidRDefault="00F60B5F" w:rsidP="008B2B0F">
      <w:r>
        <w:t>This initiative contributes to Department of Justice’s State’s Fire and Emergency Services output.</w:t>
      </w:r>
    </w:p>
    <w:p w:rsidR="00F60B5F" w:rsidRDefault="00F60B5F" w:rsidP="001F4817">
      <w:pPr>
        <w:pStyle w:val="Heading3"/>
      </w:pPr>
      <w:r>
        <w:t>Asset initiatives</w:t>
      </w:r>
    </w:p>
    <w:p w:rsidR="00F60B5F" w:rsidRPr="007B2978" w:rsidRDefault="00F60B5F" w:rsidP="004461CE">
      <w:pPr>
        <w:pStyle w:val="Tableheading"/>
      </w:pPr>
      <w:r>
        <w:t>Table A.6:</w:t>
      </w:r>
      <w:r>
        <w:tab/>
        <w:t>Asset initiatives – Justice</w:t>
      </w:r>
    </w:p>
    <w:p w:rsidR="00F60B5F" w:rsidRDefault="00F60B5F" w:rsidP="0056134B">
      <w:pPr>
        <w:pStyle w:val="Notes"/>
        <w:jc w:val="center"/>
        <w:rPr>
          <w:rFonts w:ascii="Times New Roman" w:hAnsi="Times New Roman"/>
          <w:i w:val="0"/>
          <w:sz w:val="20"/>
          <w:lang w:eastAsia="en-AU"/>
        </w:rPr>
      </w:pPr>
      <w:r w:rsidRPr="00953CF5">
        <w:rPr>
          <w:sz w:val="18"/>
          <w:szCs w:val="18"/>
        </w:rPr>
        <w:t>($</w:t>
      </w:r>
      <w:r>
        <w:rPr>
          <w:sz w:val="18"/>
          <w:szCs w:val="18"/>
        </w:rPr>
        <w:t> million)</w:t>
      </w:r>
    </w:p>
    <w:tbl>
      <w:tblPr>
        <w:tblW w:w="7760" w:type="dxa"/>
        <w:tblInd w:w="28" w:type="dxa"/>
        <w:tblLayout w:type="fixed"/>
        <w:tblCellMar>
          <w:left w:w="45" w:type="dxa"/>
          <w:right w:w="45" w:type="dxa"/>
        </w:tblCellMar>
        <w:tblLook w:val="0000" w:firstRow="0" w:lastRow="0" w:firstColumn="0" w:lastColumn="0" w:noHBand="0" w:noVBand="0"/>
      </w:tblPr>
      <w:tblGrid>
        <w:gridCol w:w="3257"/>
        <w:gridCol w:w="900"/>
        <w:gridCol w:w="901"/>
        <w:gridCol w:w="900"/>
        <w:gridCol w:w="901"/>
        <w:gridCol w:w="901"/>
      </w:tblGrid>
      <w:tr w:rsidR="00F60B5F" w:rsidRPr="0056134B" w:rsidTr="00EB331D">
        <w:tc>
          <w:tcPr>
            <w:tcW w:w="3257" w:type="dxa"/>
            <w:tcBorders>
              <w:top w:val="single" w:sz="6" w:space="0" w:color="000000"/>
              <w:left w:val="single" w:sz="6" w:space="0" w:color="000000"/>
              <w:bottom w:val="single" w:sz="6" w:space="0" w:color="000000"/>
              <w:right w:val="nil"/>
            </w:tcBorders>
            <w:shd w:val="clear" w:color="000000" w:fill="000000"/>
          </w:tcPr>
          <w:p w:rsidR="00F60B5F" w:rsidRPr="0056134B" w:rsidRDefault="00F60B5F" w:rsidP="0056134B">
            <w:pPr>
              <w:pStyle w:val="Tabletext"/>
              <w:rPr>
                <w:rFonts w:eastAsiaTheme="minorEastAsia"/>
                <w:lang w:eastAsia="en-AU"/>
              </w:rPr>
            </w:pPr>
          </w:p>
        </w:tc>
        <w:tc>
          <w:tcPr>
            <w:tcW w:w="900" w:type="dxa"/>
            <w:tcBorders>
              <w:top w:val="single" w:sz="6" w:space="0" w:color="000000"/>
              <w:left w:val="nil"/>
              <w:bottom w:val="single" w:sz="6" w:space="0" w:color="000000"/>
              <w:right w:val="nil"/>
            </w:tcBorders>
            <w:shd w:val="clear" w:color="000000" w:fill="000000"/>
          </w:tcPr>
          <w:p w:rsidR="00F60B5F" w:rsidRPr="0056134B" w:rsidRDefault="00F60B5F" w:rsidP="0056134B">
            <w:pPr>
              <w:pStyle w:val="Tabletextheading"/>
              <w:rPr>
                <w:rFonts w:eastAsiaTheme="minorEastAsia"/>
                <w:iCs/>
                <w:color w:val="FFFFFF"/>
                <w:lang w:eastAsia="en-AU"/>
              </w:rPr>
            </w:pPr>
            <w:r w:rsidRPr="0056134B">
              <w:rPr>
                <w:rFonts w:eastAsiaTheme="minorEastAsia"/>
                <w:iCs/>
                <w:color w:val="FFFFFF"/>
                <w:lang w:eastAsia="en-AU"/>
              </w:rPr>
              <w:t>2013</w:t>
            </w:r>
            <w:r>
              <w:rPr>
                <w:rFonts w:eastAsiaTheme="minorEastAsia"/>
                <w:iCs/>
                <w:color w:val="FFFFFF"/>
                <w:lang w:eastAsia="en-AU"/>
              </w:rPr>
              <w:noBreakHyphen/>
            </w:r>
            <w:r w:rsidRPr="0056134B">
              <w:rPr>
                <w:rFonts w:eastAsiaTheme="minorEastAsia"/>
                <w:iCs/>
                <w:color w:val="FFFFFF"/>
                <w:lang w:eastAsia="en-AU"/>
              </w:rPr>
              <w:t>14</w:t>
            </w:r>
          </w:p>
        </w:tc>
        <w:tc>
          <w:tcPr>
            <w:tcW w:w="901" w:type="dxa"/>
            <w:tcBorders>
              <w:top w:val="single" w:sz="6" w:space="0" w:color="000000"/>
              <w:left w:val="nil"/>
              <w:bottom w:val="single" w:sz="6" w:space="0" w:color="000000"/>
              <w:right w:val="nil"/>
            </w:tcBorders>
            <w:shd w:val="clear" w:color="000000" w:fill="000000"/>
          </w:tcPr>
          <w:p w:rsidR="00F60B5F" w:rsidRPr="0056134B" w:rsidRDefault="00F60B5F" w:rsidP="0056134B">
            <w:pPr>
              <w:pStyle w:val="Tabletextheading"/>
              <w:rPr>
                <w:rFonts w:eastAsiaTheme="minorEastAsia"/>
                <w:iCs/>
                <w:color w:val="FFFFFF"/>
                <w:lang w:eastAsia="en-AU"/>
              </w:rPr>
            </w:pPr>
            <w:r w:rsidRPr="0056134B">
              <w:rPr>
                <w:rFonts w:eastAsiaTheme="minorEastAsia"/>
                <w:iCs/>
                <w:color w:val="FFFFFF"/>
                <w:lang w:eastAsia="en-AU"/>
              </w:rPr>
              <w:t>2014</w:t>
            </w:r>
            <w:r>
              <w:rPr>
                <w:rFonts w:eastAsiaTheme="minorEastAsia"/>
                <w:iCs/>
                <w:color w:val="FFFFFF"/>
                <w:lang w:eastAsia="en-AU"/>
              </w:rPr>
              <w:noBreakHyphen/>
            </w:r>
            <w:r w:rsidRPr="0056134B">
              <w:rPr>
                <w:rFonts w:eastAsiaTheme="minorEastAsia"/>
                <w:iCs/>
                <w:color w:val="FFFFFF"/>
                <w:lang w:eastAsia="en-AU"/>
              </w:rPr>
              <w:t>15</w:t>
            </w:r>
          </w:p>
        </w:tc>
        <w:tc>
          <w:tcPr>
            <w:tcW w:w="900" w:type="dxa"/>
            <w:tcBorders>
              <w:top w:val="single" w:sz="6" w:space="0" w:color="000000"/>
              <w:left w:val="nil"/>
              <w:bottom w:val="single" w:sz="6" w:space="0" w:color="000000"/>
              <w:right w:val="nil"/>
            </w:tcBorders>
            <w:shd w:val="clear" w:color="000000" w:fill="000000"/>
          </w:tcPr>
          <w:p w:rsidR="00F60B5F" w:rsidRPr="0056134B" w:rsidRDefault="00F60B5F" w:rsidP="0056134B">
            <w:pPr>
              <w:pStyle w:val="Tabletextheading"/>
              <w:rPr>
                <w:rFonts w:eastAsiaTheme="minorEastAsia"/>
                <w:iCs/>
                <w:color w:val="FFFFFF"/>
                <w:lang w:eastAsia="en-AU"/>
              </w:rPr>
            </w:pPr>
            <w:r w:rsidRPr="0056134B">
              <w:rPr>
                <w:rFonts w:eastAsiaTheme="minorEastAsia"/>
                <w:iCs/>
                <w:color w:val="FFFFFF"/>
                <w:lang w:eastAsia="en-AU"/>
              </w:rPr>
              <w:t>2015</w:t>
            </w:r>
            <w:r>
              <w:rPr>
                <w:rFonts w:eastAsiaTheme="minorEastAsia"/>
                <w:iCs/>
                <w:color w:val="FFFFFF"/>
                <w:lang w:eastAsia="en-AU"/>
              </w:rPr>
              <w:noBreakHyphen/>
            </w:r>
            <w:r w:rsidRPr="0056134B">
              <w:rPr>
                <w:rFonts w:eastAsiaTheme="minorEastAsia"/>
                <w:iCs/>
                <w:color w:val="FFFFFF"/>
                <w:lang w:eastAsia="en-AU"/>
              </w:rPr>
              <w:t>16</w:t>
            </w:r>
          </w:p>
        </w:tc>
        <w:tc>
          <w:tcPr>
            <w:tcW w:w="901" w:type="dxa"/>
            <w:tcBorders>
              <w:top w:val="single" w:sz="6" w:space="0" w:color="000000"/>
              <w:left w:val="nil"/>
              <w:bottom w:val="single" w:sz="6" w:space="0" w:color="000000"/>
              <w:right w:val="nil"/>
            </w:tcBorders>
            <w:shd w:val="clear" w:color="000000" w:fill="000000"/>
          </w:tcPr>
          <w:p w:rsidR="00F60B5F" w:rsidRPr="0056134B" w:rsidRDefault="00F60B5F" w:rsidP="0056134B">
            <w:pPr>
              <w:pStyle w:val="Tabletextheading"/>
              <w:rPr>
                <w:rFonts w:eastAsiaTheme="minorEastAsia"/>
                <w:iCs/>
                <w:color w:val="FFFFFF"/>
                <w:lang w:eastAsia="en-AU"/>
              </w:rPr>
            </w:pPr>
            <w:r w:rsidRPr="0056134B">
              <w:rPr>
                <w:rFonts w:eastAsiaTheme="minorEastAsia"/>
                <w:iCs/>
                <w:color w:val="FFFFFF"/>
                <w:lang w:eastAsia="en-AU"/>
              </w:rPr>
              <w:t>2016</w:t>
            </w:r>
            <w:r>
              <w:rPr>
                <w:rFonts w:eastAsiaTheme="minorEastAsia"/>
                <w:iCs/>
                <w:color w:val="FFFFFF"/>
                <w:lang w:eastAsia="en-AU"/>
              </w:rPr>
              <w:noBreakHyphen/>
            </w:r>
            <w:r w:rsidRPr="0056134B">
              <w:rPr>
                <w:rFonts w:eastAsiaTheme="minorEastAsia"/>
                <w:iCs/>
                <w:color w:val="FFFFFF"/>
                <w:lang w:eastAsia="en-AU"/>
              </w:rPr>
              <w:t>17</w:t>
            </w:r>
          </w:p>
        </w:tc>
        <w:tc>
          <w:tcPr>
            <w:tcW w:w="901" w:type="dxa"/>
            <w:tcBorders>
              <w:top w:val="single" w:sz="6" w:space="0" w:color="000000"/>
              <w:left w:val="nil"/>
              <w:bottom w:val="single" w:sz="6" w:space="0" w:color="000000"/>
              <w:right w:val="single" w:sz="6" w:space="0" w:color="000000"/>
            </w:tcBorders>
            <w:shd w:val="clear" w:color="000000" w:fill="000000"/>
          </w:tcPr>
          <w:p w:rsidR="00F60B5F" w:rsidRPr="0056134B" w:rsidRDefault="00F60B5F" w:rsidP="0056134B">
            <w:pPr>
              <w:pStyle w:val="Tabletextheading"/>
              <w:rPr>
                <w:rFonts w:eastAsiaTheme="minorEastAsia"/>
                <w:iCs/>
                <w:color w:val="FFFFFF"/>
                <w:lang w:eastAsia="en-AU"/>
              </w:rPr>
            </w:pPr>
            <w:r w:rsidRPr="0056134B">
              <w:rPr>
                <w:rFonts w:eastAsiaTheme="minorEastAsia"/>
                <w:iCs/>
                <w:color w:val="FFFFFF"/>
                <w:lang w:eastAsia="en-AU"/>
              </w:rPr>
              <w:t>TEI</w:t>
            </w:r>
          </w:p>
        </w:tc>
      </w:tr>
      <w:tr w:rsidR="00F60B5F" w:rsidRPr="0056134B" w:rsidTr="00EB331D">
        <w:tc>
          <w:tcPr>
            <w:tcW w:w="3257" w:type="dxa"/>
            <w:tcBorders>
              <w:top w:val="single" w:sz="6" w:space="0" w:color="000000"/>
              <w:left w:val="nil"/>
              <w:bottom w:val="nil"/>
              <w:right w:val="nil"/>
            </w:tcBorders>
          </w:tcPr>
          <w:p w:rsidR="00F60B5F" w:rsidRPr="0056134B" w:rsidRDefault="00F60B5F" w:rsidP="0056134B">
            <w:pPr>
              <w:pStyle w:val="Tabletext"/>
              <w:rPr>
                <w:rFonts w:eastAsiaTheme="minorEastAsia"/>
                <w:lang w:eastAsia="en-AU"/>
              </w:rPr>
            </w:pPr>
            <w:r w:rsidRPr="0056134B">
              <w:rPr>
                <w:rFonts w:eastAsiaTheme="minorEastAsia"/>
                <w:lang w:eastAsia="en-AU"/>
              </w:rPr>
              <w:t>Police information technology refresh</w:t>
            </w:r>
          </w:p>
        </w:tc>
        <w:tc>
          <w:tcPr>
            <w:tcW w:w="900" w:type="dxa"/>
            <w:tcBorders>
              <w:top w:val="single" w:sz="6" w:space="0" w:color="000000"/>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 xml:space="preserve"> 25.9</w:t>
            </w:r>
          </w:p>
        </w:tc>
        <w:tc>
          <w:tcPr>
            <w:tcW w:w="901" w:type="dxa"/>
            <w:tcBorders>
              <w:top w:val="single" w:sz="6" w:space="0" w:color="000000"/>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w:t>
            </w:r>
          </w:p>
        </w:tc>
        <w:tc>
          <w:tcPr>
            <w:tcW w:w="900" w:type="dxa"/>
            <w:tcBorders>
              <w:top w:val="single" w:sz="6" w:space="0" w:color="000000"/>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w:t>
            </w:r>
          </w:p>
        </w:tc>
        <w:tc>
          <w:tcPr>
            <w:tcW w:w="901" w:type="dxa"/>
            <w:tcBorders>
              <w:top w:val="single" w:sz="6" w:space="0" w:color="000000"/>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w:t>
            </w:r>
          </w:p>
        </w:tc>
        <w:tc>
          <w:tcPr>
            <w:tcW w:w="901" w:type="dxa"/>
            <w:tcBorders>
              <w:top w:val="single" w:sz="6" w:space="0" w:color="000000"/>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 xml:space="preserve"> 25.9</w:t>
            </w:r>
          </w:p>
        </w:tc>
      </w:tr>
      <w:tr w:rsidR="00F60B5F" w:rsidRPr="0056134B" w:rsidTr="00EB331D">
        <w:tc>
          <w:tcPr>
            <w:tcW w:w="3257" w:type="dxa"/>
            <w:tcBorders>
              <w:top w:val="nil"/>
              <w:left w:val="nil"/>
              <w:bottom w:val="nil"/>
              <w:right w:val="nil"/>
            </w:tcBorders>
          </w:tcPr>
          <w:p w:rsidR="00F60B5F" w:rsidRPr="0056134B" w:rsidRDefault="00F60B5F" w:rsidP="0056134B">
            <w:pPr>
              <w:pStyle w:val="Tabletext"/>
              <w:rPr>
                <w:rFonts w:eastAsiaTheme="minorEastAsia"/>
                <w:lang w:eastAsia="en-AU"/>
              </w:rPr>
            </w:pPr>
            <w:r w:rsidRPr="0056134B">
              <w:rPr>
                <w:rFonts w:eastAsiaTheme="minorEastAsia"/>
                <w:lang w:eastAsia="en-AU"/>
              </w:rPr>
              <w:t>Prison capacity expansion</w:t>
            </w:r>
          </w:p>
        </w:tc>
        <w:tc>
          <w:tcPr>
            <w:tcW w:w="900" w:type="dxa"/>
            <w:tcBorders>
              <w:top w:val="nil"/>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 xml:space="preserve"> 49.5</w:t>
            </w:r>
          </w:p>
        </w:tc>
        <w:tc>
          <w:tcPr>
            <w:tcW w:w="901" w:type="dxa"/>
            <w:tcBorders>
              <w:top w:val="nil"/>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 xml:space="preserve"> 36.6</w:t>
            </w:r>
          </w:p>
        </w:tc>
        <w:tc>
          <w:tcPr>
            <w:tcW w:w="900" w:type="dxa"/>
            <w:tcBorders>
              <w:top w:val="nil"/>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w:t>
            </w:r>
          </w:p>
        </w:tc>
        <w:tc>
          <w:tcPr>
            <w:tcW w:w="901" w:type="dxa"/>
            <w:tcBorders>
              <w:top w:val="nil"/>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w:t>
            </w:r>
          </w:p>
        </w:tc>
        <w:tc>
          <w:tcPr>
            <w:tcW w:w="901" w:type="dxa"/>
            <w:tcBorders>
              <w:top w:val="nil"/>
              <w:left w:val="nil"/>
              <w:bottom w:val="nil"/>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 xml:space="preserve"> 86.1</w:t>
            </w:r>
          </w:p>
        </w:tc>
      </w:tr>
      <w:tr w:rsidR="00F60B5F" w:rsidRPr="0056134B" w:rsidTr="00EB331D">
        <w:tc>
          <w:tcPr>
            <w:tcW w:w="3257" w:type="dxa"/>
            <w:tcBorders>
              <w:top w:val="nil"/>
              <w:left w:val="nil"/>
              <w:bottom w:val="single" w:sz="6" w:space="0" w:color="auto"/>
              <w:right w:val="nil"/>
            </w:tcBorders>
          </w:tcPr>
          <w:p w:rsidR="00F60B5F" w:rsidRPr="0056134B" w:rsidRDefault="00F60B5F" w:rsidP="0056134B">
            <w:pPr>
              <w:pStyle w:val="Tabletext"/>
              <w:rPr>
                <w:rFonts w:eastAsiaTheme="minorEastAsia"/>
                <w:vertAlign w:val="superscript"/>
                <w:lang w:eastAsia="en-AU"/>
              </w:rPr>
            </w:pPr>
            <w:r w:rsidRPr="0056134B">
              <w:rPr>
                <w:rFonts w:eastAsiaTheme="minorEastAsia"/>
                <w:lang w:eastAsia="en-AU"/>
              </w:rPr>
              <w:t xml:space="preserve">Ravenhall Prison expansion </w:t>
            </w:r>
            <w:r w:rsidRPr="0056134B">
              <w:rPr>
                <w:rFonts w:eastAsiaTheme="minorEastAsia"/>
                <w:vertAlign w:val="superscript"/>
                <w:lang w:eastAsia="en-AU"/>
              </w:rPr>
              <w:t>(a)</w:t>
            </w:r>
          </w:p>
        </w:tc>
        <w:tc>
          <w:tcPr>
            <w:tcW w:w="900" w:type="dxa"/>
            <w:tcBorders>
              <w:top w:val="nil"/>
              <w:left w:val="nil"/>
              <w:bottom w:val="single" w:sz="6" w:space="0" w:color="auto"/>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tba</w:t>
            </w:r>
          </w:p>
        </w:tc>
        <w:tc>
          <w:tcPr>
            <w:tcW w:w="901" w:type="dxa"/>
            <w:tcBorders>
              <w:top w:val="nil"/>
              <w:left w:val="nil"/>
              <w:bottom w:val="single" w:sz="6" w:space="0" w:color="auto"/>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tba</w:t>
            </w:r>
          </w:p>
        </w:tc>
        <w:tc>
          <w:tcPr>
            <w:tcW w:w="900" w:type="dxa"/>
            <w:tcBorders>
              <w:top w:val="nil"/>
              <w:left w:val="nil"/>
              <w:bottom w:val="single" w:sz="6" w:space="0" w:color="auto"/>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tba</w:t>
            </w:r>
          </w:p>
        </w:tc>
        <w:tc>
          <w:tcPr>
            <w:tcW w:w="901" w:type="dxa"/>
            <w:tcBorders>
              <w:top w:val="nil"/>
              <w:left w:val="nil"/>
              <w:bottom w:val="single" w:sz="6" w:space="0" w:color="auto"/>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tba</w:t>
            </w:r>
          </w:p>
        </w:tc>
        <w:tc>
          <w:tcPr>
            <w:tcW w:w="901" w:type="dxa"/>
            <w:tcBorders>
              <w:top w:val="nil"/>
              <w:left w:val="nil"/>
              <w:bottom w:val="single" w:sz="6" w:space="0" w:color="auto"/>
              <w:right w:val="nil"/>
            </w:tcBorders>
          </w:tcPr>
          <w:p w:rsidR="00F60B5F" w:rsidRPr="0056134B" w:rsidRDefault="00F60B5F" w:rsidP="0056134B">
            <w:pPr>
              <w:pStyle w:val="TableofFigures"/>
              <w:rPr>
                <w:rFonts w:eastAsiaTheme="minorEastAsia"/>
                <w:lang w:eastAsia="en-AU"/>
              </w:rPr>
            </w:pPr>
            <w:r w:rsidRPr="0056134B">
              <w:rPr>
                <w:rFonts w:eastAsiaTheme="minorEastAsia"/>
                <w:lang w:eastAsia="en-AU"/>
              </w:rPr>
              <w:t>tba</w:t>
            </w:r>
          </w:p>
        </w:tc>
      </w:tr>
      <w:tr w:rsidR="00F60B5F" w:rsidRPr="0056134B" w:rsidTr="00EB331D">
        <w:tc>
          <w:tcPr>
            <w:tcW w:w="3257" w:type="dxa"/>
            <w:tcBorders>
              <w:top w:val="single" w:sz="6" w:space="0" w:color="auto"/>
              <w:left w:val="nil"/>
              <w:bottom w:val="single" w:sz="12" w:space="0" w:color="000000"/>
              <w:right w:val="nil"/>
            </w:tcBorders>
            <w:shd w:val="clear" w:color="auto" w:fill="auto"/>
          </w:tcPr>
          <w:p w:rsidR="00F60B5F" w:rsidRPr="0056134B" w:rsidRDefault="00F60B5F" w:rsidP="0056134B">
            <w:pPr>
              <w:pStyle w:val="Tabletext"/>
              <w:rPr>
                <w:rFonts w:eastAsiaTheme="minorEastAsia"/>
                <w:b/>
                <w:bCs/>
                <w:lang w:eastAsia="en-AU"/>
              </w:rPr>
            </w:pPr>
            <w:r w:rsidRPr="0056134B">
              <w:rPr>
                <w:rFonts w:eastAsiaTheme="minorEastAsia"/>
                <w:b/>
                <w:bCs/>
                <w:lang w:eastAsia="en-AU"/>
              </w:rPr>
              <w:t>Total asset initiatives</w:t>
            </w:r>
          </w:p>
        </w:tc>
        <w:tc>
          <w:tcPr>
            <w:tcW w:w="900" w:type="dxa"/>
            <w:tcBorders>
              <w:top w:val="single" w:sz="6" w:space="0" w:color="auto"/>
              <w:left w:val="nil"/>
              <w:bottom w:val="single" w:sz="12" w:space="0" w:color="000000"/>
              <w:right w:val="nil"/>
            </w:tcBorders>
            <w:shd w:val="clear" w:color="auto" w:fill="auto"/>
          </w:tcPr>
          <w:p w:rsidR="00F60B5F" w:rsidRPr="0056134B" w:rsidRDefault="00F60B5F" w:rsidP="0056134B">
            <w:pPr>
              <w:pStyle w:val="TableofFigures"/>
              <w:rPr>
                <w:rFonts w:eastAsiaTheme="minorEastAsia"/>
                <w:b/>
                <w:bCs/>
                <w:lang w:eastAsia="en-AU"/>
              </w:rPr>
            </w:pPr>
            <w:r w:rsidRPr="0056134B">
              <w:rPr>
                <w:rFonts w:eastAsiaTheme="minorEastAsia"/>
                <w:b/>
                <w:bCs/>
                <w:lang w:eastAsia="en-AU"/>
              </w:rPr>
              <w:t xml:space="preserve"> 75.4</w:t>
            </w:r>
          </w:p>
        </w:tc>
        <w:tc>
          <w:tcPr>
            <w:tcW w:w="901" w:type="dxa"/>
            <w:tcBorders>
              <w:top w:val="single" w:sz="6" w:space="0" w:color="auto"/>
              <w:left w:val="nil"/>
              <w:bottom w:val="single" w:sz="12" w:space="0" w:color="000000"/>
              <w:right w:val="nil"/>
            </w:tcBorders>
            <w:shd w:val="clear" w:color="auto" w:fill="auto"/>
          </w:tcPr>
          <w:p w:rsidR="00F60B5F" w:rsidRPr="0056134B" w:rsidRDefault="00F60B5F" w:rsidP="0056134B">
            <w:pPr>
              <w:pStyle w:val="TableofFigures"/>
              <w:rPr>
                <w:rFonts w:eastAsiaTheme="minorEastAsia"/>
                <w:b/>
                <w:bCs/>
                <w:lang w:eastAsia="en-AU"/>
              </w:rPr>
            </w:pPr>
            <w:r w:rsidRPr="0056134B">
              <w:rPr>
                <w:rFonts w:eastAsiaTheme="minorEastAsia"/>
                <w:b/>
                <w:bCs/>
                <w:lang w:eastAsia="en-AU"/>
              </w:rPr>
              <w:t xml:space="preserve"> 36.6</w:t>
            </w:r>
          </w:p>
        </w:tc>
        <w:tc>
          <w:tcPr>
            <w:tcW w:w="900" w:type="dxa"/>
            <w:tcBorders>
              <w:top w:val="single" w:sz="6" w:space="0" w:color="auto"/>
              <w:left w:val="nil"/>
              <w:bottom w:val="single" w:sz="12" w:space="0" w:color="000000"/>
              <w:right w:val="nil"/>
            </w:tcBorders>
            <w:shd w:val="clear" w:color="auto" w:fill="auto"/>
          </w:tcPr>
          <w:p w:rsidR="00F60B5F" w:rsidRPr="0056134B" w:rsidRDefault="00F60B5F" w:rsidP="0056134B">
            <w:pPr>
              <w:pStyle w:val="TableofFigures"/>
              <w:rPr>
                <w:rFonts w:eastAsiaTheme="minorEastAsia"/>
                <w:b/>
                <w:bCs/>
                <w:lang w:eastAsia="en-AU"/>
              </w:rPr>
            </w:pPr>
            <w:r w:rsidRPr="0056134B">
              <w:rPr>
                <w:rFonts w:eastAsiaTheme="minorEastAsia"/>
                <w:b/>
                <w:bCs/>
                <w:lang w:eastAsia="en-AU"/>
              </w:rPr>
              <w:t>..</w:t>
            </w:r>
          </w:p>
        </w:tc>
        <w:tc>
          <w:tcPr>
            <w:tcW w:w="901" w:type="dxa"/>
            <w:tcBorders>
              <w:top w:val="single" w:sz="6" w:space="0" w:color="auto"/>
              <w:left w:val="nil"/>
              <w:bottom w:val="single" w:sz="12" w:space="0" w:color="000000"/>
              <w:right w:val="nil"/>
            </w:tcBorders>
            <w:shd w:val="clear" w:color="auto" w:fill="auto"/>
          </w:tcPr>
          <w:p w:rsidR="00F60B5F" w:rsidRPr="0056134B" w:rsidRDefault="00F60B5F" w:rsidP="0056134B">
            <w:pPr>
              <w:pStyle w:val="TableofFigures"/>
              <w:rPr>
                <w:rFonts w:eastAsiaTheme="minorEastAsia"/>
                <w:b/>
                <w:bCs/>
                <w:lang w:eastAsia="en-AU"/>
              </w:rPr>
            </w:pPr>
            <w:r w:rsidRPr="0056134B">
              <w:rPr>
                <w:rFonts w:eastAsiaTheme="minorEastAsia"/>
                <w:b/>
                <w:bCs/>
                <w:lang w:eastAsia="en-AU"/>
              </w:rPr>
              <w:t>..</w:t>
            </w:r>
          </w:p>
        </w:tc>
        <w:tc>
          <w:tcPr>
            <w:tcW w:w="901" w:type="dxa"/>
            <w:tcBorders>
              <w:top w:val="single" w:sz="6" w:space="0" w:color="auto"/>
              <w:left w:val="nil"/>
              <w:bottom w:val="single" w:sz="12" w:space="0" w:color="000000"/>
              <w:right w:val="nil"/>
            </w:tcBorders>
            <w:shd w:val="clear" w:color="auto" w:fill="auto"/>
          </w:tcPr>
          <w:p w:rsidR="00F60B5F" w:rsidRPr="0056134B" w:rsidRDefault="00F60B5F" w:rsidP="0056134B">
            <w:pPr>
              <w:pStyle w:val="TableofFigures"/>
              <w:rPr>
                <w:rFonts w:eastAsiaTheme="minorEastAsia"/>
                <w:b/>
                <w:bCs/>
                <w:lang w:eastAsia="en-AU"/>
              </w:rPr>
            </w:pPr>
            <w:r w:rsidRPr="0056134B">
              <w:rPr>
                <w:rFonts w:eastAsiaTheme="minorEastAsia"/>
                <w:b/>
                <w:bCs/>
                <w:lang w:eastAsia="en-AU"/>
              </w:rPr>
              <w:t xml:space="preserve"> 112.0</w:t>
            </w:r>
          </w:p>
        </w:tc>
      </w:tr>
    </w:tbl>
    <w:p w:rsidR="00F60B5F" w:rsidRDefault="00F60B5F" w:rsidP="00B15D5C">
      <w:pPr>
        <w:pStyle w:val="Notes"/>
      </w:pPr>
      <w:r>
        <w:t>Note:</w:t>
      </w:r>
    </w:p>
    <w:p w:rsidR="00F60B5F" w:rsidRPr="004461CE" w:rsidRDefault="00F60B5F" w:rsidP="00790881">
      <w:pPr>
        <w:pStyle w:val="Notes"/>
      </w:pPr>
      <w:r>
        <w:t>(a)</w:t>
      </w:r>
      <w:r>
        <w:tab/>
        <w:t>The capital cost of this project is subject to the outcome of the procurement process.</w:t>
      </w:r>
    </w:p>
    <w:p w:rsidR="00F60B5F" w:rsidRPr="004461CE" w:rsidRDefault="00F60B5F" w:rsidP="004461CE">
      <w:pPr>
        <w:pStyle w:val="Notes"/>
      </w:pPr>
    </w:p>
    <w:p w:rsidR="00F60B5F" w:rsidRDefault="00F60B5F" w:rsidP="00BE568B">
      <w:pPr>
        <w:pStyle w:val="Heading5"/>
      </w:pPr>
      <w:r>
        <w:t>Police information technology refresh</w:t>
      </w:r>
    </w:p>
    <w:p w:rsidR="00F60B5F" w:rsidRDefault="00F60B5F" w:rsidP="00BE568B">
      <w:r>
        <w:t>Refer to the output initiative for a description of this initiative.</w:t>
      </w:r>
    </w:p>
    <w:p w:rsidR="00F60B5F" w:rsidRDefault="00F60B5F" w:rsidP="001F4817">
      <w:pPr>
        <w:pStyle w:val="Heading5"/>
      </w:pPr>
      <w:r>
        <w:t>Prison capacity expansion</w:t>
      </w:r>
    </w:p>
    <w:p w:rsidR="00F60B5F" w:rsidRDefault="00F60B5F" w:rsidP="001F4817">
      <w:r>
        <w:t>Refer to the output initiative for a description of this initiative.</w:t>
      </w:r>
    </w:p>
    <w:p w:rsidR="00F60B5F" w:rsidRDefault="00F60B5F" w:rsidP="003F3FA7">
      <w:pPr>
        <w:pStyle w:val="Heading5"/>
      </w:pPr>
      <w:r>
        <w:t>Ravenhall Prison</w:t>
      </w:r>
    </w:p>
    <w:p w:rsidR="00F60B5F" w:rsidRDefault="00F60B5F" w:rsidP="003F3FA7">
      <w:r>
        <w:t>Funding is provided for the expansion of the Ravenhall Prison project from a 500 bed prison to a 1 000 bed prison. The prison will be built and operated through a public private partnership. The expanded prison project will provide additional capacity to meet growing demand in the State’s prison system.</w:t>
      </w:r>
    </w:p>
    <w:p w:rsidR="00F60B5F" w:rsidRDefault="00F60B5F" w:rsidP="00C70ACD">
      <w:r>
        <w:t>This initiative contributes to the Department of Justice’s Prisoner Supervision and Support output.</w:t>
      </w:r>
    </w:p>
    <w:p w:rsidR="00F60B5F" w:rsidRPr="00756C42" w:rsidRDefault="00F60B5F" w:rsidP="00756C42">
      <w:pPr>
        <w:pStyle w:val="Heading1"/>
      </w:pPr>
      <w:bookmarkStart w:id="61" w:name="_Toc374373968"/>
      <w:r w:rsidRPr="00756C42">
        <w:t>Department of Premier and Cabinet</w:t>
      </w:r>
      <w:bookmarkEnd w:id="61"/>
    </w:p>
    <w:p w:rsidR="00F60B5F" w:rsidRDefault="00F60B5F" w:rsidP="001F4817">
      <w:pPr>
        <w:pStyle w:val="Heading3"/>
      </w:pPr>
      <w:r>
        <w:t>Output initiatives</w:t>
      </w:r>
    </w:p>
    <w:p w:rsidR="00F60B5F" w:rsidRPr="007B2978" w:rsidRDefault="00F60B5F" w:rsidP="004461CE">
      <w:pPr>
        <w:pStyle w:val="Tableheading"/>
      </w:pPr>
      <w:r>
        <w:t>Table A.7:</w:t>
      </w:r>
      <w:r>
        <w:tab/>
        <w:t>Output initiatives – Premier and Cabinet</w:t>
      </w:r>
    </w:p>
    <w:p w:rsidR="00F60B5F" w:rsidRDefault="00F60B5F" w:rsidP="00B82B7D">
      <w:pPr>
        <w:pStyle w:val="million"/>
        <w:rPr>
          <w:rFonts w:ascii="Times New Roman" w:hAnsi="Times New Roman"/>
          <w:sz w:val="20"/>
          <w:lang w:eastAsia="en-AU"/>
        </w:rPr>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F60B5F" w:rsidRPr="00B82B7D" w:rsidTr="00B82B7D">
        <w:trPr>
          <w:cantSplit/>
          <w:tblHeader/>
        </w:trPr>
        <w:tc>
          <w:tcPr>
            <w:tcW w:w="3784" w:type="dxa"/>
            <w:tcBorders>
              <w:top w:val="single" w:sz="6" w:space="0" w:color="auto"/>
              <w:left w:val="single" w:sz="6" w:space="0" w:color="auto"/>
              <w:bottom w:val="single" w:sz="6" w:space="0" w:color="auto"/>
              <w:right w:val="nil"/>
            </w:tcBorders>
            <w:shd w:val="clear" w:color="000000" w:fill="000000"/>
          </w:tcPr>
          <w:p w:rsidR="00F60B5F" w:rsidRPr="00B82B7D" w:rsidRDefault="00F60B5F" w:rsidP="00B82B7D">
            <w:pPr>
              <w:pStyle w:val="Tabletext"/>
              <w:rPr>
                <w:rFonts w:eastAsiaTheme="minorEastAsia"/>
                <w:lang w:eastAsia="en-AU"/>
              </w:rPr>
            </w:pP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94" w:type="dxa"/>
            <w:tcBorders>
              <w:top w:val="single" w:sz="6" w:space="0" w:color="auto"/>
              <w:left w:val="nil"/>
              <w:bottom w:val="single" w:sz="6" w:space="0" w:color="auto"/>
              <w:right w:val="single" w:sz="6" w:space="0" w:color="auto"/>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r>
      <w:tr w:rsidR="00F60B5F" w:rsidRPr="00B82B7D" w:rsidTr="00B82B7D">
        <w:trPr>
          <w:cantSplit/>
        </w:trPr>
        <w:tc>
          <w:tcPr>
            <w:tcW w:w="3784" w:type="dxa"/>
            <w:tcBorders>
              <w:top w:val="single" w:sz="6" w:space="0" w:color="auto"/>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Arts Centre financial sustainability</w:t>
            </w:r>
          </w:p>
        </w:tc>
        <w:tc>
          <w:tcPr>
            <w:tcW w:w="994" w:type="dxa"/>
            <w:tcBorders>
              <w:top w:val="single" w:sz="6" w:space="0" w:color="auto"/>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w:t>
            </w:r>
          </w:p>
        </w:tc>
        <w:tc>
          <w:tcPr>
            <w:tcW w:w="994" w:type="dxa"/>
            <w:tcBorders>
              <w:top w:val="single" w:sz="6" w:space="0" w:color="auto"/>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auto"/>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auto"/>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B82B7D">
        <w:trPr>
          <w:cantSplit/>
        </w:trPr>
        <w:tc>
          <w:tcPr>
            <w:tcW w:w="378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output initiatives</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1.0</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r>
    </w:tbl>
    <w:p w:rsidR="00F60B5F" w:rsidRDefault="00F60B5F" w:rsidP="001F5996">
      <w:pPr>
        <w:pStyle w:val="Source"/>
      </w:pPr>
    </w:p>
    <w:p w:rsidR="00F60B5F" w:rsidRDefault="00F60B5F" w:rsidP="004461CE">
      <w:pPr>
        <w:pStyle w:val="Heading5"/>
      </w:pPr>
      <w:r w:rsidRPr="00D16260">
        <w:t xml:space="preserve">Arts Centre </w:t>
      </w:r>
      <w:r>
        <w:t>financial sustainability</w:t>
      </w:r>
    </w:p>
    <w:p w:rsidR="00F60B5F" w:rsidRDefault="00F60B5F" w:rsidP="00425D06">
      <w:r w:rsidRPr="00D16260">
        <w:t xml:space="preserve">Funding is provided to assist the Arts Centre to </w:t>
      </w:r>
      <w:r>
        <w:t>adjust</w:t>
      </w:r>
      <w:r w:rsidRPr="00D16260">
        <w:t xml:space="preserve"> its operations in response to shifting customer needs and rising overheads.</w:t>
      </w:r>
    </w:p>
    <w:p w:rsidR="00F60B5F" w:rsidRDefault="00F60B5F" w:rsidP="00425D06">
      <w:r>
        <w:t>This initiative contributes to the Department of Premier and Cabinet’s Arts Portfolio Agencies output.</w:t>
      </w:r>
    </w:p>
    <w:p w:rsidR="00F60B5F" w:rsidRPr="00756C42" w:rsidRDefault="00F60B5F" w:rsidP="00756C42">
      <w:pPr>
        <w:pStyle w:val="Heading1"/>
      </w:pPr>
      <w:bookmarkStart w:id="62" w:name="_Toc374373969"/>
      <w:r w:rsidRPr="00756C42">
        <w:t>Department of State Development, Business and Innovation</w:t>
      </w:r>
      <w:bookmarkEnd w:id="62"/>
    </w:p>
    <w:p w:rsidR="00F60B5F" w:rsidRDefault="00F60B5F" w:rsidP="002C4714">
      <w:pPr>
        <w:pStyle w:val="Heading3"/>
      </w:pPr>
      <w:r>
        <w:t>Output initiatives</w:t>
      </w:r>
    </w:p>
    <w:p w:rsidR="00F60B5F" w:rsidRPr="007B2978" w:rsidRDefault="00F60B5F" w:rsidP="004461CE">
      <w:pPr>
        <w:pStyle w:val="Tableheading"/>
      </w:pPr>
      <w:r>
        <w:t xml:space="preserve">Table A.8: </w:t>
      </w:r>
      <w:r>
        <w:tab/>
        <w:t>Output initiatives – State Development, Business and Innovation</w:t>
      </w:r>
    </w:p>
    <w:p w:rsidR="00F60B5F" w:rsidRDefault="00F60B5F" w:rsidP="00B82B7D">
      <w:pPr>
        <w:pStyle w:val="million"/>
        <w:rPr>
          <w:rFonts w:ascii="Times New Roman" w:hAnsi="Times New Roman"/>
          <w:sz w:val="20"/>
          <w:lang w:eastAsia="en-AU"/>
        </w:rPr>
      </w:pPr>
      <w:r w:rsidRPr="000359F2">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F60B5F" w:rsidRPr="00B82B7D" w:rsidTr="00B82B7D">
        <w:trPr>
          <w:cantSplit/>
          <w:tblHeader/>
        </w:trPr>
        <w:tc>
          <w:tcPr>
            <w:tcW w:w="3784" w:type="dxa"/>
            <w:tcBorders>
              <w:top w:val="single" w:sz="6" w:space="0" w:color="auto"/>
              <w:left w:val="single" w:sz="6" w:space="0" w:color="auto"/>
              <w:bottom w:val="single" w:sz="6" w:space="0" w:color="auto"/>
              <w:right w:val="nil"/>
            </w:tcBorders>
            <w:shd w:val="clear" w:color="000000" w:fill="000000"/>
          </w:tcPr>
          <w:p w:rsidR="00F60B5F" w:rsidRPr="00B82B7D" w:rsidRDefault="00F60B5F" w:rsidP="00B82B7D">
            <w:pPr>
              <w:pStyle w:val="Tabletext"/>
              <w:rPr>
                <w:rFonts w:eastAsiaTheme="minorEastAsia"/>
                <w:lang w:eastAsia="en-AU"/>
              </w:rPr>
            </w:pP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94" w:type="dxa"/>
            <w:tcBorders>
              <w:top w:val="single" w:sz="6" w:space="0" w:color="auto"/>
              <w:left w:val="nil"/>
              <w:bottom w:val="single" w:sz="6" w:space="0" w:color="auto"/>
              <w:right w:val="single" w:sz="6" w:space="0" w:color="auto"/>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r>
      <w:tr w:rsidR="00F60B5F" w:rsidRPr="00B82B7D" w:rsidTr="00B82B7D">
        <w:trPr>
          <w:cantSplit/>
        </w:trPr>
        <w:tc>
          <w:tcPr>
            <w:tcW w:w="3784" w:type="dxa"/>
            <w:tcBorders>
              <w:top w:val="single" w:sz="6" w:space="0" w:color="auto"/>
              <w:left w:val="nil"/>
              <w:bottom w:val="nil"/>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Automotive New Markets Program</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1.0</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B82B7D">
        <w:trPr>
          <w:cantSplit/>
        </w:trPr>
        <w:tc>
          <w:tcPr>
            <w:tcW w:w="3784" w:type="dxa"/>
            <w:tcBorders>
              <w:top w:val="nil"/>
              <w:left w:val="nil"/>
              <w:bottom w:val="nil"/>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Economic Diversity Fund</w:t>
            </w:r>
          </w:p>
        </w:tc>
        <w:tc>
          <w:tcPr>
            <w:tcW w:w="994"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2.0</w:t>
            </w:r>
          </w:p>
        </w:tc>
        <w:tc>
          <w:tcPr>
            <w:tcW w:w="994"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3.5</w:t>
            </w:r>
          </w:p>
        </w:tc>
        <w:tc>
          <w:tcPr>
            <w:tcW w:w="994"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3.5</w:t>
            </w:r>
          </w:p>
        </w:tc>
        <w:tc>
          <w:tcPr>
            <w:tcW w:w="994" w:type="dxa"/>
            <w:tcBorders>
              <w:top w:val="nil"/>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B82B7D">
        <w:trPr>
          <w:cantSplit/>
        </w:trPr>
        <w:tc>
          <w:tcPr>
            <w:tcW w:w="3784" w:type="dxa"/>
            <w:tcBorders>
              <w:top w:val="nil"/>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Victorian Government ICT Strategy</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8.3</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4.2</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B82B7D">
        <w:trPr>
          <w:cantSplit/>
        </w:trPr>
        <w:tc>
          <w:tcPr>
            <w:tcW w:w="378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output initiatives</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10.3</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8.7</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4.5</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r>
    </w:tbl>
    <w:p w:rsidR="00F60B5F" w:rsidRDefault="00F60B5F" w:rsidP="00756C42">
      <w:pPr>
        <w:pStyle w:val="Source"/>
      </w:pPr>
    </w:p>
    <w:p w:rsidR="00F60B5F" w:rsidRDefault="00F60B5F" w:rsidP="004461CE">
      <w:pPr>
        <w:pStyle w:val="Heading5"/>
      </w:pPr>
      <w:r w:rsidRPr="002C4714">
        <w:t>Automotive New Markets Program</w:t>
      </w:r>
    </w:p>
    <w:p w:rsidR="00F60B5F" w:rsidRDefault="00F60B5F" w:rsidP="006E379B">
      <w:r w:rsidRPr="002C4714">
        <w:t>Additional funding for the Automotive New Markets Program will support companies in the automotive supply chain to diversify into new products and markets.</w:t>
      </w:r>
    </w:p>
    <w:p w:rsidR="00F60B5F" w:rsidRDefault="00F60B5F" w:rsidP="006E379B">
      <w:r>
        <w:t>This initiative contributes to the Department of State Development, Business and Innovation’s Trade and Export Facilitation output.</w:t>
      </w:r>
    </w:p>
    <w:p w:rsidR="00F60B5F" w:rsidRDefault="00F60B5F" w:rsidP="002C4714">
      <w:pPr>
        <w:pStyle w:val="Heading5"/>
      </w:pPr>
      <w:r w:rsidRPr="002C4714">
        <w:t>Economic Diversity Fund</w:t>
      </w:r>
    </w:p>
    <w:p w:rsidR="00F60B5F" w:rsidRDefault="00F60B5F" w:rsidP="002C4714">
      <w:r w:rsidRPr="002C4714">
        <w:t>The Economic Diversity Fund will support new private investment and job creation in the Hume, Geelong and imme</w:t>
      </w:r>
      <w:r>
        <w:t>diate surrounding areas affected</w:t>
      </w:r>
      <w:r w:rsidRPr="002C4714">
        <w:t xml:space="preserve"> by Ford</w:t>
      </w:r>
      <w:r>
        <w:t>’</w:t>
      </w:r>
      <w:r w:rsidRPr="002C4714">
        <w:t>s decision to cease manufacturing in Australia from October 2016.</w:t>
      </w:r>
    </w:p>
    <w:p w:rsidR="00F60B5F" w:rsidRDefault="00F60B5F" w:rsidP="002C4714">
      <w:r>
        <w:t>This initiative contributes to the Department of State Development, Business and Innovation’s Trade and Export Facilitation output.</w:t>
      </w:r>
    </w:p>
    <w:p w:rsidR="00F60B5F" w:rsidRDefault="00F60B5F" w:rsidP="006E379B">
      <w:pPr>
        <w:pStyle w:val="Heading5"/>
      </w:pPr>
      <w:r>
        <w:t>Victorian Government ICT Strategy</w:t>
      </w:r>
    </w:p>
    <w:p w:rsidR="00F60B5F" w:rsidRDefault="00F60B5F" w:rsidP="006E379B">
      <w:r>
        <w:t xml:space="preserve">Additional funding for the Victorian Government ICT Strategy will support implementation of the Government’s new approach to using information and communication to deliver better government services to businesses and the community. </w:t>
      </w:r>
    </w:p>
    <w:p w:rsidR="00F60B5F" w:rsidRDefault="00F60B5F" w:rsidP="006E379B">
      <w:r>
        <w:t>The initiative contributes to the Department of State Development, Business and Innovation’s Innovation and Technology output.</w:t>
      </w:r>
    </w:p>
    <w:p w:rsidR="00F60B5F" w:rsidRPr="00756C42" w:rsidRDefault="00F60B5F" w:rsidP="00756C42">
      <w:pPr>
        <w:pStyle w:val="Heading1"/>
      </w:pPr>
      <w:bookmarkStart w:id="63" w:name="_Toc374373970"/>
      <w:r w:rsidRPr="00756C42">
        <w:t>Department of Transport, Planning, and Local Infrastructure</w:t>
      </w:r>
      <w:bookmarkEnd w:id="63"/>
    </w:p>
    <w:p w:rsidR="00F60B5F" w:rsidRDefault="00F60B5F" w:rsidP="00EE4D85">
      <w:pPr>
        <w:pStyle w:val="Heading3"/>
      </w:pPr>
      <w:r>
        <w:t>Output initiatives</w:t>
      </w:r>
    </w:p>
    <w:p w:rsidR="00F60B5F" w:rsidRPr="007B2978" w:rsidRDefault="00F60B5F" w:rsidP="004461CE">
      <w:pPr>
        <w:pStyle w:val="Tableheading"/>
      </w:pPr>
      <w:r>
        <w:t xml:space="preserve">Table A.9: </w:t>
      </w:r>
      <w:r>
        <w:tab/>
        <w:t>Output initiatives – Transport, Planning, and Local Infrastructure</w:t>
      </w:r>
    </w:p>
    <w:p w:rsidR="00F60B5F" w:rsidRDefault="00F60B5F" w:rsidP="00B82B7D">
      <w:pPr>
        <w:pStyle w:val="million"/>
        <w:rPr>
          <w:rFonts w:ascii="Times New Roman" w:hAnsi="Times New Roman"/>
          <w:sz w:val="20"/>
          <w:lang w:eastAsia="en-AU"/>
        </w:rPr>
      </w:pPr>
      <w:r w:rsidRPr="000359F2">
        <w:t>($</w:t>
      </w: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F60B5F" w:rsidRPr="00B82B7D" w:rsidTr="00B82B7D">
        <w:trPr>
          <w:cantSplit/>
          <w:tblHeader/>
        </w:trPr>
        <w:tc>
          <w:tcPr>
            <w:tcW w:w="3784" w:type="dxa"/>
            <w:tcBorders>
              <w:top w:val="single" w:sz="6" w:space="0" w:color="auto"/>
              <w:left w:val="single" w:sz="6" w:space="0" w:color="auto"/>
              <w:bottom w:val="single" w:sz="6" w:space="0" w:color="auto"/>
              <w:right w:val="nil"/>
            </w:tcBorders>
            <w:shd w:val="clear" w:color="000000" w:fill="000000"/>
          </w:tcPr>
          <w:p w:rsidR="00F60B5F" w:rsidRPr="00B82B7D" w:rsidRDefault="00F60B5F" w:rsidP="00B82B7D">
            <w:pPr>
              <w:pStyle w:val="Tabletext"/>
              <w:rPr>
                <w:rFonts w:eastAsiaTheme="minorEastAsia"/>
                <w:lang w:eastAsia="en-AU"/>
              </w:rPr>
            </w:pP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94" w:type="dxa"/>
            <w:tcBorders>
              <w:top w:val="single" w:sz="6" w:space="0" w:color="auto"/>
              <w:left w:val="nil"/>
              <w:bottom w:val="single" w:sz="6" w:space="0" w:color="auto"/>
              <w:right w:val="single" w:sz="6" w:space="0" w:color="auto"/>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r>
      <w:tr w:rsidR="00F60B5F" w:rsidRPr="00B82B7D" w:rsidTr="00B82B7D">
        <w:trPr>
          <w:cantSplit/>
        </w:trPr>
        <w:tc>
          <w:tcPr>
            <w:tcW w:w="3784" w:type="dxa"/>
            <w:tcBorders>
              <w:top w:val="single" w:sz="6" w:space="0" w:color="auto"/>
              <w:left w:val="nil"/>
              <w:bottom w:val="nil"/>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ANZAC Day</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0.3</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0.3</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B82B7D">
        <w:trPr>
          <w:cantSplit/>
        </w:trPr>
        <w:tc>
          <w:tcPr>
            <w:tcW w:w="3784" w:type="dxa"/>
            <w:tcBorders>
              <w:top w:val="nil"/>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Implementation of taxi reform</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7.4</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6.6</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5.5</w:t>
            </w:r>
          </w:p>
        </w:tc>
        <w:tc>
          <w:tcPr>
            <w:tcW w:w="99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3.4</w:t>
            </w:r>
          </w:p>
        </w:tc>
      </w:tr>
      <w:tr w:rsidR="00F60B5F" w:rsidRPr="00B82B7D" w:rsidTr="00B82B7D">
        <w:trPr>
          <w:cantSplit/>
        </w:trPr>
        <w:tc>
          <w:tcPr>
            <w:tcW w:w="378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output initiatives</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7.7</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6.9</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5.5</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3.4</w:t>
            </w:r>
          </w:p>
        </w:tc>
      </w:tr>
    </w:tbl>
    <w:p w:rsidR="00F60B5F" w:rsidRDefault="00F60B5F" w:rsidP="00324E10">
      <w:pPr>
        <w:pStyle w:val="Source"/>
      </w:pPr>
    </w:p>
    <w:p w:rsidR="00F60B5F" w:rsidRDefault="00F60B5F" w:rsidP="00A168C6">
      <w:pPr>
        <w:pStyle w:val="Heading5"/>
      </w:pPr>
      <w:r>
        <w:t xml:space="preserve">ANZAC Day </w:t>
      </w:r>
    </w:p>
    <w:p w:rsidR="00F60B5F" w:rsidRDefault="00F60B5F" w:rsidP="00A168C6">
      <w:r w:rsidRPr="0073442A">
        <w:t xml:space="preserve">Supplementary funding is being provided to the ANZAC Day Proceeds Fund, </w:t>
      </w:r>
      <w:r>
        <w:t>which</w:t>
      </w:r>
      <w:r w:rsidRPr="0073442A">
        <w:t xml:space="preserve"> distribute</w:t>
      </w:r>
      <w:r>
        <w:t>s</w:t>
      </w:r>
      <w:r w:rsidRPr="0073442A">
        <w:t xml:space="preserve"> funds raised from sporting events on ANZAC Day to organisations that provide for the welfare of the ex</w:t>
      </w:r>
      <w:r>
        <w:noBreakHyphen/>
      </w:r>
      <w:r w:rsidRPr="0073442A">
        <w:t xml:space="preserve">service community. </w:t>
      </w:r>
    </w:p>
    <w:p w:rsidR="00F60B5F" w:rsidRDefault="00F60B5F" w:rsidP="00A168C6">
      <w:r>
        <w:t>This initiative contributes to the Department of Transport, Planning and Local Infrastructure’s Sport and Recreation output.</w:t>
      </w:r>
    </w:p>
    <w:p w:rsidR="00F60B5F" w:rsidRDefault="00F60B5F" w:rsidP="00AD0D4B">
      <w:pPr>
        <w:pStyle w:val="Heading5"/>
      </w:pPr>
      <w:r>
        <w:t>Implementation of taxi reform</w:t>
      </w:r>
    </w:p>
    <w:p w:rsidR="00F60B5F" w:rsidRPr="004461CE" w:rsidRDefault="00F60B5F" w:rsidP="00F602D2">
      <w:r>
        <w:t>Funding is provided for the i</w:t>
      </w:r>
      <w:r w:rsidRPr="00AD0D4B">
        <w:t>mplementation of taxi reform, based on recommendations of t</w:t>
      </w:r>
      <w:r>
        <w:t>he Taxi Industry Inquiry report. The reforms</w:t>
      </w:r>
      <w:r w:rsidRPr="00AD0D4B">
        <w:t xml:space="preserve"> will</w:t>
      </w:r>
      <w:r>
        <w:t xml:space="preserve"> improve services for customers, </w:t>
      </w:r>
      <w:r w:rsidRPr="004461CE">
        <w:t>address safety concerns of customers and drive</w:t>
      </w:r>
      <w:r>
        <w:t xml:space="preserve">rs, </w:t>
      </w:r>
      <w:r w:rsidRPr="004461CE">
        <w:t>int</w:t>
      </w:r>
      <w:r>
        <w:t xml:space="preserve">roduce greater competition and </w:t>
      </w:r>
      <w:r w:rsidRPr="004461CE">
        <w:t>provide the Taxi Services Commission with new powers and functions to better regulate the industry.</w:t>
      </w:r>
    </w:p>
    <w:p w:rsidR="00F60B5F" w:rsidRDefault="00F60B5F" w:rsidP="00CC3B85">
      <w:pPr>
        <w:rPr>
          <w:rFonts w:ascii="Calibri" w:hAnsi="Calibri"/>
          <w:b/>
          <w:i/>
          <w:kern w:val="28"/>
          <w:sz w:val="24"/>
          <w:szCs w:val="22"/>
        </w:rPr>
      </w:pPr>
      <w:r w:rsidRPr="00AD0D4B">
        <w:t>This initiative contributes to the Department of Transport, Planning and Local Infrastructure</w:t>
      </w:r>
      <w:r>
        <w:t>’</w:t>
      </w:r>
      <w:r w:rsidRPr="00AD0D4B">
        <w:t>s Transport Safety Regulation and Investigations output.</w:t>
      </w:r>
    </w:p>
    <w:p w:rsidR="00F60B5F" w:rsidRDefault="00F60B5F" w:rsidP="001F5996">
      <w:pPr>
        <w:pStyle w:val="Heading3"/>
      </w:pPr>
      <w:r>
        <w:t>Asset initiatives</w:t>
      </w:r>
    </w:p>
    <w:p w:rsidR="00F60B5F" w:rsidRPr="007B2978" w:rsidRDefault="00F60B5F" w:rsidP="004461CE">
      <w:pPr>
        <w:pStyle w:val="Tableheading"/>
      </w:pPr>
      <w:r>
        <w:t>Table A.10:</w:t>
      </w:r>
      <w:r>
        <w:tab/>
        <w:t>Asset initiatives – Transport, Planning and Local Infrastructure</w:t>
      </w:r>
    </w:p>
    <w:p w:rsidR="00F60B5F" w:rsidRDefault="00F60B5F" w:rsidP="00B82B7D">
      <w:pPr>
        <w:pStyle w:val="million"/>
        <w:rPr>
          <w:rFonts w:ascii="Times New Roman" w:hAnsi="Times New Roman"/>
          <w:sz w:val="20"/>
          <w:lang w:eastAsia="en-AU"/>
        </w:rPr>
      </w:pPr>
      <w:r w:rsidRPr="000359F2">
        <w:t>($</w:t>
      </w:r>
      <w:r>
        <w:t> million</w:t>
      </w:r>
      <w:r w:rsidRPr="000359F2">
        <w:t xml:space="preserve">) </w:t>
      </w:r>
    </w:p>
    <w:tbl>
      <w:tblPr>
        <w:tblW w:w="7760" w:type="dxa"/>
        <w:tblInd w:w="28" w:type="dxa"/>
        <w:tblLayout w:type="fixed"/>
        <w:tblCellMar>
          <w:left w:w="45" w:type="dxa"/>
          <w:right w:w="45" w:type="dxa"/>
        </w:tblCellMar>
        <w:tblLook w:val="0000" w:firstRow="0" w:lastRow="0" w:firstColumn="0" w:lastColumn="0" w:noHBand="0" w:noVBand="0"/>
      </w:tblPr>
      <w:tblGrid>
        <w:gridCol w:w="2987"/>
        <w:gridCol w:w="954"/>
        <w:gridCol w:w="955"/>
        <w:gridCol w:w="954"/>
        <w:gridCol w:w="955"/>
        <w:gridCol w:w="955"/>
      </w:tblGrid>
      <w:tr w:rsidR="00F60B5F" w:rsidRPr="00B82B7D" w:rsidTr="00B82B7D">
        <w:trPr>
          <w:cantSplit/>
          <w:tblHeader/>
        </w:trPr>
        <w:tc>
          <w:tcPr>
            <w:tcW w:w="2987" w:type="dxa"/>
            <w:tcBorders>
              <w:top w:val="single" w:sz="6" w:space="0" w:color="auto"/>
              <w:left w:val="single" w:sz="6" w:space="0" w:color="auto"/>
              <w:bottom w:val="single" w:sz="6" w:space="0" w:color="auto"/>
              <w:right w:val="nil"/>
            </w:tcBorders>
            <w:shd w:val="clear" w:color="000000" w:fill="000000"/>
          </w:tcPr>
          <w:p w:rsidR="00F60B5F" w:rsidRPr="00B82B7D" w:rsidRDefault="00F60B5F" w:rsidP="00B82B7D">
            <w:pPr>
              <w:pStyle w:val="Tabletext"/>
              <w:rPr>
                <w:rFonts w:eastAsiaTheme="minorEastAsia"/>
                <w:lang w:eastAsia="en-AU"/>
              </w:rPr>
            </w:pPr>
          </w:p>
        </w:tc>
        <w:tc>
          <w:tcPr>
            <w:tcW w:w="95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55"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5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55"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c>
          <w:tcPr>
            <w:tcW w:w="955" w:type="dxa"/>
            <w:tcBorders>
              <w:top w:val="single" w:sz="6" w:space="0" w:color="auto"/>
              <w:left w:val="nil"/>
              <w:bottom w:val="single" w:sz="6" w:space="0" w:color="auto"/>
              <w:right w:val="single" w:sz="6" w:space="0" w:color="auto"/>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TEI</w:t>
            </w:r>
          </w:p>
        </w:tc>
      </w:tr>
      <w:tr w:rsidR="00F60B5F" w:rsidRPr="00B82B7D" w:rsidTr="00B82B7D">
        <w:trPr>
          <w:cantSplit/>
        </w:trPr>
        <w:tc>
          <w:tcPr>
            <w:tcW w:w="2987" w:type="dxa"/>
            <w:tcBorders>
              <w:top w:val="single" w:sz="6" w:space="0" w:color="auto"/>
              <w:left w:val="nil"/>
              <w:bottom w:val="nil"/>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Sneydes Road freeway interchange</w:t>
            </w:r>
          </w:p>
        </w:tc>
        <w:tc>
          <w:tcPr>
            <w:tcW w:w="95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7.6</w:t>
            </w:r>
          </w:p>
        </w:tc>
        <w:tc>
          <w:tcPr>
            <w:tcW w:w="955"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19.9</w:t>
            </w:r>
          </w:p>
        </w:tc>
        <w:tc>
          <w:tcPr>
            <w:tcW w:w="954"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12.4</w:t>
            </w:r>
          </w:p>
        </w:tc>
        <w:tc>
          <w:tcPr>
            <w:tcW w:w="955"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55" w:type="dxa"/>
            <w:tcBorders>
              <w:top w:val="single" w:sz="6" w:space="0" w:color="auto"/>
              <w:left w:val="nil"/>
              <w:bottom w:val="nil"/>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39.9</w:t>
            </w:r>
          </w:p>
        </w:tc>
      </w:tr>
      <w:tr w:rsidR="00F60B5F" w:rsidRPr="00B82B7D" w:rsidTr="00B82B7D">
        <w:trPr>
          <w:cantSplit/>
        </w:trPr>
        <w:tc>
          <w:tcPr>
            <w:tcW w:w="2987" w:type="dxa"/>
            <w:tcBorders>
              <w:top w:val="nil"/>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Implementation of taxi reform</w:t>
            </w:r>
          </w:p>
        </w:tc>
        <w:tc>
          <w:tcPr>
            <w:tcW w:w="95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3.0</w:t>
            </w:r>
          </w:p>
        </w:tc>
        <w:tc>
          <w:tcPr>
            <w:tcW w:w="955"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1.7</w:t>
            </w:r>
          </w:p>
        </w:tc>
        <w:tc>
          <w:tcPr>
            <w:tcW w:w="954"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55"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55" w:type="dxa"/>
            <w:tcBorders>
              <w:top w:val="nil"/>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5.3</w:t>
            </w:r>
          </w:p>
        </w:tc>
      </w:tr>
      <w:tr w:rsidR="00F60B5F" w:rsidRPr="00B82B7D" w:rsidTr="00B82B7D">
        <w:trPr>
          <w:cantSplit/>
        </w:trPr>
        <w:tc>
          <w:tcPr>
            <w:tcW w:w="2987"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asset initiatives</w:t>
            </w:r>
          </w:p>
        </w:tc>
        <w:tc>
          <w:tcPr>
            <w:tcW w:w="95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10.6</w:t>
            </w:r>
          </w:p>
        </w:tc>
        <w:tc>
          <w:tcPr>
            <w:tcW w:w="955"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21.6</w:t>
            </w:r>
          </w:p>
        </w:tc>
        <w:tc>
          <w:tcPr>
            <w:tcW w:w="95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12.4</w:t>
            </w:r>
          </w:p>
        </w:tc>
        <w:tc>
          <w:tcPr>
            <w:tcW w:w="955"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c>
          <w:tcPr>
            <w:tcW w:w="955"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45.1</w:t>
            </w:r>
          </w:p>
        </w:tc>
      </w:tr>
    </w:tbl>
    <w:p w:rsidR="00F60B5F" w:rsidRDefault="00F60B5F" w:rsidP="00324E10">
      <w:pPr>
        <w:pStyle w:val="Source"/>
      </w:pPr>
    </w:p>
    <w:p w:rsidR="00F60B5F" w:rsidRDefault="00F60B5F" w:rsidP="004C6D69">
      <w:pPr>
        <w:pStyle w:val="Heading5"/>
      </w:pPr>
      <w:r w:rsidRPr="004C6D69">
        <w:t>Sneydes Road freeway interchange</w:t>
      </w:r>
    </w:p>
    <w:p w:rsidR="00F60B5F" w:rsidRDefault="00F60B5F" w:rsidP="001F1513">
      <w:r>
        <w:t>Funding is provided</w:t>
      </w:r>
      <w:r w:rsidRPr="0073442A">
        <w:t xml:space="preserve"> to construct north and south interchanges between Sneydes Road and the Princes Freeway. This will improve access to the growing Werribee region</w:t>
      </w:r>
      <w:r>
        <w:t xml:space="preserve"> and surrounding areas</w:t>
      </w:r>
      <w:r w:rsidRPr="0073442A">
        <w:t>.</w:t>
      </w:r>
    </w:p>
    <w:p w:rsidR="00F60B5F" w:rsidRDefault="00F60B5F" w:rsidP="00A168C6">
      <w:r w:rsidRPr="0073442A">
        <w:t>This initiative contributes to the Department of Transport, Planning and Local Infrastructure’s Road Network Improvements</w:t>
      </w:r>
      <w:r>
        <w:t xml:space="preserve"> output</w:t>
      </w:r>
      <w:r w:rsidRPr="0073442A">
        <w:t>.</w:t>
      </w:r>
    </w:p>
    <w:p w:rsidR="00F60B5F" w:rsidRPr="00AD0D4B" w:rsidRDefault="00F60B5F" w:rsidP="004461CE">
      <w:pPr>
        <w:pStyle w:val="Heading5"/>
      </w:pPr>
      <w:r w:rsidRPr="00AD0D4B">
        <w:t>Implementation</w:t>
      </w:r>
      <w:r>
        <w:t xml:space="preserve"> </w:t>
      </w:r>
      <w:r w:rsidRPr="00AD0D4B">
        <w:t>of taxi reform</w:t>
      </w:r>
    </w:p>
    <w:p w:rsidR="00F60B5F" w:rsidRDefault="00F60B5F" w:rsidP="00A168C6">
      <w:r>
        <w:t>Refer to the output initiative for a description of this initiative.</w:t>
      </w:r>
    </w:p>
    <w:p w:rsidR="00F60B5F" w:rsidRDefault="00F60B5F" w:rsidP="000A2328">
      <w:pPr>
        <w:pStyle w:val="Heading1"/>
      </w:pPr>
      <w:bookmarkStart w:id="64" w:name="_Toc374373971"/>
      <w:r>
        <w:t>Department of Treasury and Finance</w:t>
      </w:r>
      <w:bookmarkEnd w:id="64"/>
    </w:p>
    <w:p w:rsidR="00F60B5F" w:rsidRDefault="00F60B5F" w:rsidP="000A2328">
      <w:pPr>
        <w:pStyle w:val="Heading3"/>
      </w:pPr>
      <w:r>
        <w:t>Output initiatives</w:t>
      </w:r>
    </w:p>
    <w:p w:rsidR="00F60B5F" w:rsidRDefault="00F60B5F" w:rsidP="004461CE">
      <w:pPr>
        <w:pStyle w:val="Tableheading"/>
      </w:pPr>
      <w:r>
        <w:t>Table A.11:</w:t>
      </w:r>
      <w:r>
        <w:tab/>
        <w:t>Output initiatives – Treasury and Finance</w:t>
      </w:r>
    </w:p>
    <w:p w:rsidR="00F60B5F" w:rsidRDefault="00F60B5F" w:rsidP="00B82B7D">
      <w:pPr>
        <w:pStyle w:val="million"/>
        <w:rPr>
          <w:rFonts w:ascii="Times New Roman" w:hAnsi="Times New Roman"/>
          <w:sz w:val="20"/>
          <w:lang w:eastAsia="en-AU"/>
        </w:rPr>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F60B5F" w:rsidRPr="00B82B7D" w:rsidTr="00B82B7D">
        <w:trPr>
          <w:cantSplit/>
          <w:tblHeader/>
        </w:trPr>
        <w:tc>
          <w:tcPr>
            <w:tcW w:w="3784" w:type="dxa"/>
            <w:tcBorders>
              <w:top w:val="single" w:sz="6" w:space="0" w:color="auto"/>
              <w:left w:val="single" w:sz="6" w:space="0" w:color="auto"/>
              <w:bottom w:val="single" w:sz="6" w:space="0" w:color="auto"/>
              <w:right w:val="nil"/>
            </w:tcBorders>
            <w:shd w:val="clear" w:color="000000" w:fill="000000"/>
          </w:tcPr>
          <w:p w:rsidR="00F60B5F" w:rsidRPr="00B82B7D" w:rsidRDefault="00F60B5F" w:rsidP="00B82B7D">
            <w:pPr>
              <w:pStyle w:val="Tabletext"/>
              <w:rPr>
                <w:rFonts w:eastAsiaTheme="minorEastAsia"/>
                <w:lang w:eastAsia="en-AU"/>
              </w:rPr>
            </w:pP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2013</w:t>
            </w:r>
            <w:r>
              <w:rPr>
                <w:rFonts w:eastAsiaTheme="minorEastAsia"/>
                <w:iCs/>
                <w:color w:val="FFFFFF"/>
                <w:lang w:eastAsia="en-AU"/>
              </w:rPr>
              <w:noBreakHyphen/>
            </w:r>
            <w:r w:rsidRPr="00B82B7D">
              <w:rPr>
                <w:rFonts w:eastAsiaTheme="minorEastAsia"/>
                <w:iCs/>
                <w:color w:val="FFFFFF"/>
                <w:lang w:eastAsia="en-AU"/>
              </w:rPr>
              <w:t>14</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2014</w:t>
            </w:r>
            <w:r>
              <w:rPr>
                <w:rFonts w:eastAsiaTheme="minorEastAsia"/>
                <w:iCs/>
                <w:color w:val="FFFFFF"/>
                <w:lang w:eastAsia="en-AU"/>
              </w:rPr>
              <w:noBreakHyphen/>
            </w:r>
            <w:r w:rsidRPr="00B82B7D">
              <w:rPr>
                <w:rFonts w:eastAsiaTheme="minorEastAsia"/>
                <w:iCs/>
                <w:color w:val="FFFFFF"/>
                <w:lang w:eastAsia="en-AU"/>
              </w:rPr>
              <w:t>15</w:t>
            </w:r>
          </w:p>
        </w:tc>
        <w:tc>
          <w:tcPr>
            <w:tcW w:w="994" w:type="dxa"/>
            <w:tcBorders>
              <w:top w:val="single" w:sz="6" w:space="0" w:color="auto"/>
              <w:left w:val="nil"/>
              <w:bottom w:val="single" w:sz="6" w:space="0" w:color="auto"/>
              <w:right w:val="nil"/>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2015</w:t>
            </w:r>
            <w:r>
              <w:rPr>
                <w:rFonts w:eastAsiaTheme="minorEastAsia"/>
                <w:iCs/>
                <w:color w:val="FFFFFF"/>
                <w:lang w:eastAsia="en-AU"/>
              </w:rPr>
              <w:noBreakHyphen/>
            </w:r>
            <w:r w:rsidRPr="00B82B7D">
              <w:rPr>
                <w:rFonts w:eastAsiaTheme="minorEastAsia"/>
                <w:iCs/>
                <w:color w:val="FFFFFF"/>
                <w:lang w:eastAsia="en-AU"/>
              </w:rPr>
              <w:t>16</w:t>
            </w:r>
          </w:p>
        </w:tc>
        <w:tc>
          <w:tcPr>
            <w:tcW w:w="994" w:type="dxa"/>
            <w:tcBorders>
              <w:top w:val="single" w:sz="6" w:space="0" w:color="auto"/>
              <w:left w:val="nil"/>
              <w:bottom w:val="single" w:sz="6" w:space="0" w:color="auto"/>
              <w:right w:val="single" w:sz="6" w:space="0" w:color="auto"/>
            </w:tcBorders>
            <w:shd w:val="clear" w:color="000000" w:fill="000000"/>
          </w:tcPr>
          <w:p w:rsidR="00F60B5F" w:rsidRPr="00B82B7D" w:rsidRDefault="00F60B5F" w:rsidP="00B82B7D">
            <w:pPr>
              <w:pStyle w:val="Tabletextheading"/>
              <w:rPr>
                <w:rFonts w:eastAsiaTheme="minorEastAsia"/>
                <w:iCs/>
                <w:color w:val="FFFFFF"/>
                <w:lang w:eastAsia="en-AU"/>
              </w:rPr>
            </w:pPr>
            <w:r w:rsidRPr="00B82B7D">
              <w:rPr>
                <w:rFonts w:eastAsiaTheme="minorEastAsia"/>
                <w:iCs/>
                <w:color w:val="FFFFFF"/>
                <w:lang w:eastAsia="en-AU"/>
              </w:rPr>
              <w:t>2016</w:t>
            </w:r>
            <w:r>
              <w:rPr>
                <w:rFonts w:eastAsiaTheme="minorEastAsia"/>
                <w:iCs/>
                <w:color w:val="FFFFFF"/>
                <w:lang w:eastAsia="en-AU"/>
              </w:rPr>
              <w:noBreakHyphen/>
            </w:r>
            <w:r w:rsidRPr="00B82B7D">
              <w:rPr>
                <w:rFonts w:eastAsiaTheme="minorEastAsia"/>
                <w:iCs/>
                <w:color w:val="FFFFFF"/>
                <w:lang w:eastAsia="en-AU"/>
              </w:rPr>
              <w:t>17</w:t>
            </w:r>
          </w:p>
        </w:tc>
      </w:tr>
      <w:tr w:rsidR="00F60B5F" w:rsidRPr="00B82B7D" w:rsidTr="00B82B7D">
        <w:trPr>
          <w:cantSplit/>
        </w:trPr>
        <w:tc>
          <w:tcPr>
            <w:tcW w:w="3784" w:type="dxa"/>
            <w:tcBorders>
              <w:top w:val="single" w:sz="6" w:space="0" w:color="auto"/>
              <w:left w:val="nil"/>
              <w:bottom w:val="single" w:sz="6" w:space="0" w:color="auto"/>
              <w:right w:val="nil"/>
            </w:tcBorders>
          </w:tcPr>
          <w:p w:rsidR="00F60B5F" w:rsidRPr="00B82B7D" w:rsidRDefault="00F60B5F" w:rsidP="00B82B7D">
            <w:pPr>
              <w:pStyle w:val="Tabletext"/>
              <w:rPr>
                <w:rFonts w:eastAsiaTheme="minorEastAsia"/>
                <w:lang w:eastAsia="en-AU"/>
              </w:rPr>
            </w:pPr>
            <w:r w:rsidRPr="00B82B7D">
              <w:rPr>
                <w:rFonts w:eastAsiaTheme="minorEastAsia"/>
                <w:lang w:eastAsia="en-AU"/>
              </w:rPr>
              <w:t>Highett gas works site</w:t>
            </w:r>
          </w:p>
        </w:tc>
        <w:tc>
          <w:tcPr>
            <w:tcW w:w="994" w:type="dxa"/>
            <w:tcBorders>
              <w:top w:val="single" w:sz="6" w:space="0" w:color="auto"/>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 xml:space="preserve"> 13.0</w:t>
            </w:r>
          </w:p>
        </w:tc>
        <w:tc>
          <w:tcPr>
            <w:tcW w:w="994" w:type="dxa"/>
            <w:tcBorders>
              <w:top w:val="single" w:sz="6" w:space="0" w:color="auto"/>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auto"/>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c>
          <w:tcPr>
            <w:tcW w:w="994" w:type="dxa"/>
            <w:tcBorders>
              <w:top w:val="single" w:sz="6" w:space="0" w:color="auto"/>
              <w:left w:val="nil"/>
              <w:bottom w:val="single" w:sz="6" w:space="0" w:color="auto"/>
              <w:right w:val="nil"/>
            </w:tcBorders>
          </w:tcPr>
          <w:p w:rsidR="00F60B5F" w:rsidRPr="00B82B7D" w:rsidRDefault="00F60B5F" w:rsidP="00B82B7D">
            <w:pPr>
              <w:pStyle w:val="TableofFigures"/>
              <w:rPr>
                <w:rFonts w:eastAsiaTheme="minorEastAsia"/>
                <w:lang w:eastAsia="en-AU"/>
              </w:rPr>
            </w:pPr>
            <w:r w:rsidRPr="00B82B7D">
              <w:rPr>
                <w:rFonts w:eastAsiaTheme="minorEastAsia"/>
                <w:lang w:eastAsia="en-AU"/>
              </w:rPr>
              <w:t>..</w:t>
            </w:r>
          </w:p>
        </w:tc>
      </w:tr>
      <w:tr w:rsidR="00F60B5F" w:rsidRPr="00B82B7D" w:rsidTr="00B82B7D">
        <w:trPr>
          <w:cantSplit/>
        </w:trPr>
        <w:tc>
          <w:tcPr>
            <w:tcW w:w="378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text"/>
              <w:rPr>
                <w:rFonts w:eastAsiaTheme="minorEastAsia"/>
                <w:b/>
                <w:bCs/>
                <w:lang w:eastAsia="en-AU"/>
              </w:rPr>
            </w:pPr>
            <w:r w:rsidRPr="00B82B7D">
              <w:rPr>
                <w:rFonts w:eastAsiaTheme="minorEastAsia"/>
                <w:b/>
                <w:bCs/>
                <w:lang w:eastAsia="en-AU"/>
              </w:rPr>
              <w:t>Total output initiatives</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 xml:space="preserve"> 13.0</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F60B5F" w:rsidRPr="00B82B7D" w:rsidRDefault="00F60B5F" w:rsidP="00B82B7D">
            <w:pPr>
              <w:pStyle w:val="TableofFigures"/>
              <w:rPr>
                <w:rFonts w:eastAsiaTheme="minorEastAsia"/>
                <w:b/>
                <w:bCs/>
                <w:lang w:eastAsia="en-AU"/>
              </w:rPr>
            </w:pPr>
            <w:r w:rsidRPr="00B82B7D">
              <w:rPr>
                <w:rFonts w:eastAsiaTheme="minorEastAsia"/>
                <w:b/>
                <w:bCs/>
                <w:lang w:eastAsia="en-AU"/>
              </w:rPr>
              <w:t>..</w:t>
            </w:r>
          </w:p>
        </w:tc>
      </w:tr>
    </w:tbl>
    <w:p w:rsidR="00F60B5F" w:rsidRDefault="00F60B5F" w:rsidP="000A2328">
      <w:pPr>
        <w:rPr>
          <w:rFonts w:ascii="Times New Roman" w:hAnsi="Times New Roman"/>
          <w:sz w:val="20"/>
          <w:lang w:eastAsia="en-AU"/>
        </w:rPr>
      </w:pPr>
    </w:p>
    <w:p w:rsidR="00F60B5F" w:rsidRPr="004461CE" w:rsidRDefault="00F60B5F" w:rsidP="004461CE">
      <w:pPr>
        <w:pStyle w:val="Heading5"/>
      </w:pPr>
      <w:r w:rsidRPr="004461CE">
        <w:t>Highett g</w:t>
      </w:r>
      <w:r w:rsidRPr="004461CE">
        <w:rPr>
          <w:rStyle w:val="Heading5Char"/>
        </w:rPr>
        <w:t>a</w:t>
      </w:r>
      <w:r w:rsidRPr="004461CE">
        <w:t>s works site</w:t>
      </w:r>
    </w:p>
    <w:p w:rsidR="00F60B5F" w:rsidRDefault="00F60B5F" w:rsidP="000A2328">
      <w:r>
        <w:t>This initiative provides funding to facilitate the relocation of the gas infrastructure from the Highett gasworks site and for remediation of the land prior to sale.</w:t>
      </w:r>
    </w:p>
    <w:p w:rsidR="00F60B5F" w:rsidRPr="000A2328" w:rsidRDefault="00F60B5F" w:rsidP="000A2328">
      <w:r>
        <w:t>This initiative contributes to the Department of Treasury and Finance’s Land and Infrastructure Investment Management output.</w:t>
      </w:r>
    </w:p>
    <w:p w:rsidR="00F60B5F" w:rsidRDefault="00F60B5F" w:rsidP="00A168C6"/>
    <w:p w:rsidR="00F60B5F" w:rsidRDefault="00F60B5F" w:rsidP="00856AFF"/>
    <w:p w:rsidR="00F60B5F" w:rsidRDefault="00F60B5F" w:rsidP="00856AFF">
      <w:pPr>
        <w:sectPr w:rsidR="00F60B5F" w:rsidSect="006C00BC">
          <w:footerReference w:type="even" r:id="rId37"/>
          <w:footerReference w:type="default" r:id="rId38"/>
          <w:type w:val="oddPage"/>
          <w:pgSz w:w="9979" w:h="14181" w:code="138"/>
          <w:pgMar w:top="1138" w:right="1138" w:bottom="1138" w:left="1138" w:header="720" w:footer="720" w:gutter="0"/>
          <w:cols w:space="708"/>
          <w:docGrid w:linePitch="360"/>
        </w:sectPr>
      </w:pPr>
    </w:p>
    <w:p w:rsidR="00F60B5F" w:rsidRDefault="00F60B5F" w:rsidP="009445B6">
      <w:pPr>
        <w:pStyle w:val="ChapterHeading"/>
      </w:pPr>
      <w:bookmarkStart w:id="65" w:name="_Toc374373972"/>
      <w:r>
        <w:t>A</w:t>
      </w:r>
      <w:r w:rsidRPr="009445B6">
        <w:t>ppendix</w:t>
      </w:r>
      <w:r>
        <w:rPr>
          <w:caps w:val="0"/>
        </w:rPr>
        <w:t> </w:t>
      </w:r>
      <w:r>
        <w:t>B – Amendments to the 2013</w:t>
      </w:r>
      <w:r>
        <w:noBreakHyphen/>
        <w:t>14 output performance measures</w:t>
      </w:r>
      <w:bookmarkEnd w:id="65"/>
    </w:p>
    <w:p w:rsidR="00F60B5F" w:rsidRPr="00EA7654" w:rsidRDefault="00F60B5F" w:rsidP="00162CB5">
      <w:r>
        <w:t xml:space="preserve">Output measures for all departments were published in Chapter 2 and Appendix A of Budget Paper No. 3 </w:t>
      </w:r>
      <w:r>
        <w:rPr>
          <w:i/>
        </w:rPr>
        <w:t>Service Delivery</w:t>
      </w:r>
      <w:r>
        <w:t>. Following a review of substantially changed and proposed discontinued measures by the Public Accounts and Estimates Committee, the Government has accepted the Committee’s recommendation to retain the following output measure for 2013</w:t>
      </w:r>
      <w:r>
        <w:noBreakHyphen/>
        <w:t>14. The Government has provided additional information regarding the remaining recommendations to the Committee for consideration and further discussion.</w:t>
      </w:r>
    </w:p>
    <w:p w:rsidR="00F60B5F" w:rsidRPr="00442596" w:rsidRDefault="00F60B5F" w:rsidP="00162CB5">
      <w:r>
        <w:t xml:space="preserve">A full, amended version of Budget Paper No. 3 </w:t>
      </w:r>
      <w:r>
        <w:rPr>
          <w:i/>
        </w:rPr>
        <w:t>Service Delivery</w:t>
      </w:r>
      <w:r>
        <w:t xml:space="preserve"> reflecting the changes below, is available at budget.vic.gov.au.</w:t>
      </w:r>
    </w:p>
    <w:p w:rsidR="00F60B5F" w:rsidRDefault="00F60B5F" w:rsidP="006C00BC">
      <w:pPr>
        <w:pStyle w:val="Heading1"/>
      </w:pPr>
      <w:bookmarkStart w:id="66" w:name="_Toc374373973"/>
      <w:r>
        <w:t xml:space="preserve">Department of Environment and Primary </w:t>
      </w:r>
      <w:r w:rsidRPr="006C00BC">
        <w:t>Industries</w:t>
      </w:r>
      <w:bookmarkEnd w:id="66"/>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F60B5F" w:rsidRPr="001414E8" w:rsidTr="005A6E3B">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F60B5F" w:rsidRPr="001414E8" w:rsidRDefault="00F60B5F" w:rsidP="005A6E3B">
            <w:pPr>
              <w:pStyle w:val="OGTabColLeft"/>
              <w:rPr>
                <w:b w:val="0"/>
                <w:i/>
              </w:rPr>
            </w:pPr>
            <w:r w:rsidRPr="001414E8">
              <w:t>Major Outputs/Deliverables</w:t>
            </w:r>
            <w:r>
              <w:br/>
            </w:r>
            <w:r w:rsidRPr="001414E8">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F60B5F" w:rsidRPr="001414E8" w:rsidRDefault="00F60B5F" w:rsidP="005A6E3B">
            <w:pPr>
              <w:pStyle w:val="OGTabColCentred"/>
            </w:pPr>
            <w:r w:rsidRPr="001414E8">
              <w:t xml:space="preserve">Unit of </w:t>
            </w:r>
            <w:r w:rsidRPr="001414E8">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F60B5F" w:rsidRPr="001414E8" w:rsidRDefault="00F60B5F" w:rsidP="006F1978">
            <w:pPr>
              <w:pStyle w:val="OGTabColRight"/>
            </w:pPr>
            <w:r w:rsidRPr="001414E8">
              <w:t>201</w:t>
            </w:r>
            <w:r>
              <w:t>3</w:t>
            </w:r>
            <w:r>
              <w:noBreakHyphen/>
            </w:r>
            <w:r w:rsidRPr="001414E8">
              <w:t>1</w:t>
            </w:r>
            <w:r>
              <w:t>4</w:t>
            </w:r>
            <w:r w:rsidRPr="001414E8">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F60B5F" w:rsidRPr="001414E8" w:rsidRDefault="00F60B5F" w:rsidP="006F1978">
            <w:pPr>
              <w:pStyle w:val="OGTabColRight"/>
            </w:pPr>
            <w:r w:rsidRPr="001414E8">
              <w:t>201</w:t>
            </w:r>
            <w:r>
              <w:t>2</w:t>
            </w:r>
            <w:r>
              <w:noBreakHyphen/>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F60B5F" w:rsidRPr="001414E8" w:rsidRDefault="00F60B5F" w:rsidP="006F1978">
            <w:pPr>
              <w:pStyle w:val="OGTabColRight"/>
            </w:pPr>
            <w:r w:rsidRPr="001414E8">
              <w:t>201</w:t>
            </w:r>
            <w:r>
              <w:t>2</w:t>
            </w:r>
            <w:r>
              <w:noBreakHyphen/>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F60B5F" w:rsidRPr="001414E8" w:rsidRDefault="00F60B5F" w:rsidP="006F1978">
            <w:pPr>
              <w:pStyle w:val="OGTabColRight"/>
            </w:pPr>
            <w:r w:rsidRPr="001414E8">
              <w:t>201</w:t>
            </w:r>
            <w:r>
              <w:t>1</w:t>
            </w:r>
            <w:r>
              <w:noBreakHyphen/>
              <w:t>12 Actual</w:t>
            </w:r>
          </w:p>
        </w:tc>
      </w:tr>
      <w:tr w:rsidR="00F60B5F" w:rsidRPr="00C76446" w:rsidTr="005A6E3B">
        <w:trPr>
          <w:cantSplit/>
        </w:trPr>
        <w:tc>
          <w:tcPr>
            <w:tcW w:w="7776" w:type="dxa"/>
            <w:gridSpan w:val="6"/>
            <w:tcBorders>
              <w:top w:val="single" w:sz="4" w:space="0" w:color="auto"/>
              <w:left w:val="nil"/>
              <w:right w:val="nil"/>
            </w:tcBorders>
            <w:shd w:val="clear" w:color="auto" w:fill="auto"/>
            <w:hideMark/>
          </w:tcPr>
          <w:p w:rsidR="00F60B5F" w:rsidRPr="00C76446" w:rsidRDefault="00F60B5F" w:rsidP="006F1978">
            <w:pPr>
              <w:pStyle w:val="OGHeading2"/>
              <w:rPr>
                <w:lang w:eastAsia="en-AU"/>
              </w:rPr>
            </w:pPr>
            <w:r>
              <w:rPr>
                <w:lang w:eastAsia="en-AU"/>
              </w:rPr>
              <w:t>Land and Fire Management</w:t>
            </w:r>
          </w:p>
        </w:tc>
      </w:tr>
      <w:tr w:rsidR="00F60B5F" w:rsidRPr="00C76446" w:rsidTr="005A6E3B">
        <w:trPr>
          <w:cantSplit/>
        </w:trPr>
        <w:tc>
          <w:tcPr>
            <w:tcW w:w="3155" w:type="dxa"/>
            <w:tcBorders>
              <w:top w:val="single" w:sz="6" w:space="0" w:color="auto"/>
              <w:left w:val="nil"/>
              <w:right w:val="nil"/>
            </w:tcBorders>
            <w:shd w:val="clear" w:color="auto" w:fill="auto"/>
            <w:hideMark/>
          </w:tcPr>
          <w:p w:rsidR="00F60B5F" w:rsidRPr="00C76446" w:rsidRDefault="00F60B5F" w:rsidP="006F1978">
            <w:pPr>
              <w:pStyle w:val="OGTabHead"/>
              <w:rPr>
                <w:lang w:eastAsia="en-AU"/>
              </w:rPr>
            </w:pPr>
            <w:r>
              <w:rPr>
                <w:iCs/>
                <w:color w:val="000000"/>
                <w:lang w:eastAsia="en-AU"/>
              </w:rPr>
              <w:t>Timeliness</w:t>
            </w:r>
          </w:p>
        </w:tc>
        <w:tc>
          <w:tcPr>
            <w:tcW w:w="907" w:type="dxa"/>
            <w:tcBorders>
              <w:top w:val="single" w:sz="6" w:space="0" w:color="auto"/>
              <w:left w:val="nil"/>
              <w:right w:val="nil"/>
            </w:tcBorders>
            <w:shd w:val="clear" w:color="auto" w:fill="auto"/>
            <w:noWrap/>
            <w:hideMark/>
          </w:tcPr>
          <w:p w:rsidR="00F60B5F" w:rsidRPr="00C76446" w:rsidRDefault="00F60B5F" w:rsidP="005A6E3B">
            <w:pPr>
              <w:pStyle w:val="OGUoM"/>
              <w:rPr>
                <w:lang w:eastAsia="en-AU"/>
              </w:rPr>
            </w:pPr>
            <w:r w:rsidRPr="00C76446">
              <w:rPr>
                <w:lang w:eastAsia="en-AU"/>
              </w:rPr>
              <w:t> </w:t>
            </w:r>
          </w:p>
        </w:tc>
        <w:tc>
          <w:tcPr>
            <w:tcW w:w="907" w:type="dxa"/>
            <w:tcBorders>
              <w:top w:val="single" w:sz="6" w:space="0" w:color="auto"/>
              <w:left w:val="nil"/>
              <w:right w:val="nil"/>
            </w:tcBorders>
            <w:shd w:val="clear" w:color="auto" w:fill="D9D9D9"/>
            <w:noWrap/>
            <w:hideMark/>
          </w:tcPr>
          <w:p w:rsidR="00F60B5F" w:rsidRPr="004D6723" w:rsidRDefault="00F60B5F" w:rsidP="005A6E3B">
            <w:pPr>
              <w:pStyle w:val="OGTableofFigures"/>
              <w:rPr>
                <w:lang w:eastAsia="en-AU"/>
              </w:rPr>
            </w:pPr>
            <w:r w:rsidRPr="004D6723">
              <w:rPr>
                <w:lang w:eastAsia="en-AU"/>
              </w:rPr>
              <w:t> </w:t>
            </w:r>
          </w:p>
        </w:tc>
        <w:tc>
          <w:tcPr>
            <w:tcW w:w="993" w:type="dxa"/>
            <w:tcBorders>
              <w:top w:val="single" w:sz="6" w:space="0" w:color="auto"/>
              <w:left w:val="nil"/>
              <w:right w:val="nil"/>
            </w:tcBorders>
            <w:shd w:val="clear" w:color="auto" w:fill="auto"/>
            <w:noWrap/>
            <w:hideMark/>
          </w:tcPr>
          <w:p w:rsidR="00F60B5F" w:rsidRPr="004D6723" w:rsidRDefault="00F60B5F" w:rsidP="005A6E3B">
            <w:pPr>
              <w:pStyle w:val="OGTableofFigures"/>
              <w:rPr>
                <w:lang w:eastAsia="en-AU"/>
              </w:rPr>
            </w:pPr>
            <w:r w:rsidRPr="004D6723">
              <w:rPr>
                <w:lang w:eastAsia="en-AU"/>
              </w:rPr>
              <w:t> </w:t>
            </w:r>
          </w:p>
        </w:tc>
        <w:tc>
          <w:tcPr>
            <w:tcW w:w="907" w:type="dxa"/>
            <w:tcBorders>
              <w:top w:val="single" w:sz="6" w:space="0" w:color="auto"/>
              <w:left w:val="nil"/>
              <w:right w:val="nil"/>
            </w:tcBorders>
            <w:shd w:val="clear" w:color="auto" w:fill="auto"/>
            <w:noWrap/>
            <w:hideMark/>
          </w:tcPr>
          <w:p w:rsidR="00F60B5F" w:rsidRPr="00C76446" w:rsidRDefault="00F60B5F" w:rsidP="005A6E3B">
            <w:pPr>
              <w:pStyle w:val="OGTableofFigures"/>
              <w:rPr>
                <w:lang w:eastAsia="en-AU"/>
              </w:rPr>
            </w:pPr>
            <w:r w:rsidRPr="00C76446">
              <w:rPr>
                <w:lang w:eastAsia="en-AU"/>
              </w:rPr>
              <w:t> </w:t>
            </w:r>
          </w:p>
        </w:tc>
        <w:tc>
          <w:tcPr>
            <w:tcW w:w="907" w:type="dxa"/>
            <w:tcBorders>
              <w:top w:val="single" w:sz="6" w:space="0" w:color="auto"/>
              <w:left w:val="nil"/>
              <w:right w:val="nil"/>
            </w:tcBorders>
            <w:shd w:val="clear" w:color="auto" w:fill="auto"/>
            <w:noWrap/>
            <w:hideMark/>
          </w:tcPr>
          <w:p w:rsidR="00F60B5F" w:rsidRPr="00C76446" w:rsidRDefault="00F60B5F" w:rsidP="005A6E3B">
            <w:pPr>
              <w:pStyle w:val="OGTableofFigures"/>
              <w:rPr>
                <w:lang w:eastAsia="en-AU"/>
              </w:rPr>
            </w:pPr>
            <w:r w:rsidRPr="00C76446">
              <w:rPr>
                <w:lang w:eastAsia="en-AU"/>
              </w:rPr>
              <w:t> </w:t>
            </w:r>
          </w:p>
        </w:tc>
      </w:tr>
      <w:tr w:rsidR="00F60B5F" w:rsidRPr="00C76446" w:rsidTr="005A6E3B">
        <w:trPr>
          <w:cantSplit/>
        </w:trPr>
        <w:tc>
          <w:tcPr>
            <w:tcW w:w="3155" w:type="dxa"/>
            <w:tcBorders>
              <w:left w:val="nil"/>
              <w:right w:val="nil"/>
            </w:tcBorders>
            <w:shd w:val="clear" w:color="auto" w:fill="auto"/>
            <w:hideMark/>
          </w:tcPr>
          <w:p w:rsidR="00F60B5F" w:rsidRPr="00C76446" w:rsidRDefault="00F60B5F" w:rsidP="006F1978">
            <w:pPr>
              <w:pStyle w:val="OGTabText"/>
              <w:rPr>
                <w:color w:val="000000"/>
                <w:lang w:eastAsia="en-AU"/>
              </w:rPr>
            </w:pPr>
            <w:r>
              <w:rPr>
                <w:color w:val="000000"/>
                <w:lang w:eastAsia="en-AU"/>
              </w:rPr>
              <w:t>Assessment of model of cover completed prior to fire season to assess resources available and requirement for the upcoming fire season</w:t>
            </w:r>
          </w:p>
        </w:tc>
        <w:tc>
          <w:tcPr>
            <w:tcW w:w="907" w:type="dxa"/>
            <w:tcBorders>
              <w:left w:val="nil"/>
              <w:right w:val="nil"/>
            </w:tcBorders>
            <w:shd w:val="clear" w:color="auto" w:fill="auto"/>
            <w:noWrap/>
            <w:hideMark/>
          </w:tcPr>
          <w:p w:rsidR="00F60B5F" w:rsidRPr="00C76446" w:rsidRDefault="00F60B5F" w:rsidP="006F1978">
            <w:pPr>
              <w:pStyle w:val="OGUoM"/>
              <w:rPr>
                <w:rFonts w:cs="Calibri"/>
                <w:lang w:eastAsia="en-AU"/>
              </w:rPr>
            </w:pPr>
            <w:r>
              <w:rPr>
                <w:rFonts w:cs="Calibri"/>
                <w:lang w:eastAsia="en-AU"/>
              </w:rPr>
              <w:t>date</w:t>
            </w:r>
          </w:p>
        </w:tc>
        <w:tc>
          <w:tcPr>
            <w:tcW w:w="907" w:type="dxa"/>
            <w:tcBorders>
              <w:left w:val="nil"/>
              <w:right w:val="nil"/>
            </w:tcBorders>
            <w:shd w:val="clear" w:color="auto" w:fill="D9D9D9"/>
            <w:noWrap/>
            <w:hideMark/>
          </w:tcPr>
          <w:p w:rsidR="00F60B5F" w:rsidRPr="004D6723" w:rsidRDefault="00F60B5F" w:rsidP="006F1978">
            <w:pPr>
              <w:pStyle w:val="OGTableofFigures"/>
              <w:rPr>
                <w:rFonts w:cs="Calibri"/>
                <w:lang w:eastAsia="en-AU"/>
              </w:rPr>
            </w:pPr>
            <w:r w:rsidRPr="004D6723">
              <w:rPr>
                <w:rFonts w:cs="Calibri"/>
                <w:lang w:eastAsia="en-AU"/>
              </w:rPr>
              <w:t>Dec 2013</w:t>
            </w:r>
          </w:p>
        </w:tc>
        <w:tc>
          <w:tcPr>
            <w:tcW w:w="993" w:type="dxa"/>
            <w:tcBorders>
              <w:left w:val="nil"/>
              <w:right w:val="nil"/>
            </w:tcBorders>
            <w:shd w:val="clear" w:color="auto" w:fill="auto"/>
            <w:noWrap/>
            <w:hideMark/>
          </w:tcPr>
          <w:p w:rsidR="00F60B5F" w:rsidRPr="004D6723" w:rsidRDefault="00F60B5F" w:rsidP="00CD1FBC">
            <w:pPr>
              <w:pStyle w:val="OGTableofFigures"/>
              <w:rPr>
                <w:rFonts w:cs="Calibri"/>
                <w:lang w:eastAsia="en-AU"/>
              </w:rPr>
            </w:pPr>
            <w:r w:rsidRPr="004D6723">
              <w:rPr>
                <w:rFonts w:cs="Calibri"/>
                <w:lang w:eastAsia="en-AU"/>
              </w:rPr>
              <w:t>Feb 2013</w:t>
            </w:r>
          </w:p>
        </w:tc>
        <w:tc>
          <w:tcPr>
            <w:tcW w:w="907" w:type="dxa"/>
            <w:tcBorders>
              <w:left w:val="nil"/>
              <w:right w:val="nil"/>
            </w:tcBorders>
            <w:shd w:val="clear" w:color="auto" w:fill="auto"/>
            <w:noWrap/>
            <w:hideMark/>
          </w:tcPr>
          <w:p w:rsidR="00F60B5F" w:rsidRPr="00C76446" w:rsidRDefault="00F60B5F" w:rsidP="00CD1FBC">
            <w:pPr>
              <w:pStyle w:val="OGTableofFigures"/>
              <w:rPr>
                <w:lang w:eastAsia="en-AU"/>
              </w:rPr>
            </w:pPr>
            <w:r>
              <w:rPr>
                <w:lang w:eastAsia="en-AU"/>
              </w:rPr>
              <w:t>Dec 2012</w:t>
            </w:r>
          </w:p>
        </w:tc>
        <w:tc>
          <w:tcPr>
            <w:tcW w:w="907" w:type="dxa"/>
            <w:tcBorders>
              <w:left w:val="nil"/>
              <w:right w:val="nil"/>
            </w:tcBorders>
            <w:shd w:val="clear" w:color="auto" w:fill="auto"/>
            <w:noWrap/>
            <w:hideMark/>
          </w:tcPr>
          <w:p w:rsidR="00F60B5F" w:rsidRPr="00C76446" w:rsidRDefault="00F60B5F" w:rsidP="00CD1FBC">
            <w:pPr>
              <w:pStyle w:val="OGTableofFigures"/>
              <w:rPr>
                <w:lang w:eastAsia="en-AU"/>
              </w:rPr>
            </w:pPr>
            <w:r>
              <w:rPr>
                <w:lang w:eastAsia="en-AU"/>
              </w:rPr>
              <w:t>Jan 2012</w:t>
            </w:r>
            <w:r w:rsidRPr="00C76446">
              <w:rPr>
                <w:lang w:eastAsia="en-AU"/>
              </w:rPr>
              <w:t> </w:t>
            </w:r>
          </w:p>
        </w:tc>
      </w:tr>
      <w:tr w:rsidR="00F60B5F" w:rsidRPr="00C76446" w:rsidTr="005A6E3B">
        <w:trPr>
          <w:cantSplit/>
        </w:trPr>
        <w:tc>
          <w:tcPr>
            <w:tcW w:w="7776" w:type="dxa"/>
            <w:gridSpan w:val="6"/>
            <w:tcBorders>
              <w:top w:val="nil"/>
              <w:left w:val="nil"/>
              <w:bottom w:val="single" w:sz="6" w:space="0" w:color="auto"/>
              <w:right w:val="nil"/>
            </w:tcBorders>
            <w:shd w:val="clear" w:color="auto" w:fill="auto"/>
          </w:tcPr>
          <w:p w:rsidR="00F60B5F" w:rsidRPr="004D6723" w:rsidRDefault="00F60B5F" w:rsidP="006F1978">
            <w:pPr>
              <w:pStyle w:val="OGNotes"/>
            </w:pPr>
            <w:r w:rsidRPr="004D6723">
              <w:t xml:space="preserve">This performance measure has been retained following the recommendation of the Public Accounts and Estimates Committee contained in </w:t>
            </w:r>
            <w:r w:rsidRPr="004D6723">
              <w:rPr>
                <w:i w:val="0"/>
              </w:rPr>
              <w:t>PAEC’s 116</w:t>
            </w:r>
            <w:r w:rsidRPr="004D6723">
              <w:rPr>
                <w:i w:val="0"/>
                <w:vertAlign w:val="superscript"/>
              </w:rPr>
              <w:t>th</w:t>
            </w:r>
            <w:r w:rsidRPr="004D6723">
              <w:rPr>
                <w:i w:val="0"/>
              </w:rPr>
              <w:t xml:space="preserve"> Report to Parliament on the 2013</w:t>
            </w:r>
            <w:r>
              <w:rPr>
                <w:i w:val="0"/>
              </w:rPr>
              <w:noBreakHyphen/>
            </w:r>
            <w:r w:rsidRPr="004D6723">
              <w:rPr>
                <w:i w:val="0"/>
              </w:rPr>
              <w:t>14 Budget Estimates</w:t>
            </w:r>
            <w:r>
              <w:rPr>
                <w:i w:val="0"/>
              </w:rPr>
              <w:t xml:space="preserve"> – </w:t>
            </w:r>
            <w:r w:rsidRPr="004D6723">
              <w:rPr>
                <w:i w:val="0"/>
              </w:rPr>
              <w:t xml:space="preserve">Part </w:t>
            </w:r>
            <w:r>
              <w:rPr>
                <w:i w:val="0"/>
              </w:rPr>
              <w:t>Two, Recommendation 29</w:t>
            </w:r>
            <w:r w:rsidRPr="004D6723">
              <w:rPr>
                <w:i w:val="0"/>
              </w:rPr>
              <w:t>.</w:t>
            </w:r>
          </w:p>
          <w:p w:rsidR="00F60B5F" w:rsidRPr="004D6723" w:rsidRDefault="00F60B5F" w:rsidP="008A22ED">
            <w:pPr>
              <w:pStyle w:val="OGNotes"/>
            </w:pPr>
            <w:r w:rsidRPr="004D6723">
              <w:t>The 2012</w:t>
            </w:r>
            <w:r>
              <w:noBreakHyphen/>
            </w:r>
            <w:r w:rsidRPr="004D6723">
              <w:t>13 Expected Outcome is later than the 2012</w:t>
            </w:r>
            <w:r>
              <w:noBreakHyphen/>
            </w:r>
            <w:r w:rsidRPr="004D6723">
              <w:t xml:space="preserve">13 Target due to </w:t>
            </w:r>
            <w:r>
              <w:t xml:space="preserve">the </w:t>
            </w:r>
            <w:r w:rsidRPr="004D6723">
              <w:t>deferral of the assessment of model of cover pending revised capability and capacity level information from the relevant agencies</w:t>
            </w:r>
            <w:r>
              <w:t xml:space="preserve">. </w:t>
            </w:r>
            <w:r w:rsidRPr="004D6723">
              <w:t>This information only became available in late November and December 2012.</w:t>
            </w:r>
          </w:p>
        </w:tc>
      </w:tr>
    </w:tbl>
    <w:p w:rsidR="00F60B5F" w:rsidRDefault="00F60B5F" w:rsidP="006F1978">
      <w:pPr>
        <w:pStyle w:val="Source"/>
      </w:pPr>
      <w:r w:rsidRPr="00180E76">
        <w:t xml:space="preserve">Source: Department of </w:t>
      </w:r>
      <w:r>
        <w:t>Environment and Primary Industries</w:t>
      </w:r>
    </w:p>
    <w:p w:rsidR="00F60B5F" w:rsidRDefault="00F60B5F">
      <w:pPr>
        <w:spacing w:after="0"/>
      </w:pPr>
      <w:r>
        <w:br w:type="page"/>
      </w:r>
    </w:p>
    <w:p w:rsidR="00F60B5F" w:rsidRPr="005C751E" w:rsidRDefault="00F60B5F" w:rsidP="005C751E"/>
    <w:p w:rsidR="00F60B5F" w:rsidRDefault="00F60B5F" w:rsidP="006F1978"/>
    <w:p w:rsidR="00F60B5F" w:rsidRDefault="00F60B5F" w:rsidP="00856AFF"/>
    <w:p w:rsidR="00F60B5F" w:rsidRDefault="00F60B5F" w:rsidP="00856AFF">
      <w:pPr>
        <w:sectPr w:rsidR="00F60B5F" w:rsidSect="006C00BC">
          <w:footerReference w:type="even" r:id="rId39"/>
          <w:footerReference w:type="default" r:id="rId40"/>
          <w:type w:val="oddPage"/>
          <w:pgSz w:w="9979" w:h="14181" w:code="138"/>
          <w:pgMar w:top="1138" w:right="1138" w:bottom="1138" w:left="1138" w:header="720" w:footer="720" w:gutter="0"/>
          <w:cols w:space="708"/>
          <w:docGrid w:linePitch="360"/>
        </w:sectPr>
      </w:pPr>
    </w:p>
    <w:p w:rsidR="00F60B5F" w:rsidRDefault="00F60B5F" w:rsidP="009445B6">
      <w:pPr>
        <w:pStyle w:val="ChapterHeading"/>
      </w:pPr>
      <w:bookmarkStart w:id="67" w:name="_Toc374373974"/>
      <w:r w:rsidRPr="009445B6">
        <w:t>Appendix</w:t>
      </w:r>
      <w:r>
        <w:rPr>
          <w:caps w:val="0"/>
        </w:rPr>
        <w:t> C</w:t>
      </w:r>
      <w:r>
        <w:t xml:space="preserve"> – Tax expenditures and concessions</w:t>
      </w:r>
      <w:bookmarkEnd w:id="67"/>
    </w:p>
    <w:p w:rsidR="00F60B5F" w:rsidRPr="002562B2" w:rsidRDefault="00F60B5F" w:rsidP="002562B2">
      <w:pPr>
        <w:pStyle w:val="Heading1"/>
      </w:pPr>
      <w:bookmarkStart w:id="68" w:name="_Toc374373975"/>
      <w:r w:rsidRPr="002562B2">
        <w:t>Tax expenditures</w:t>
      </w:r>
      <w:bookmarkEnd w:id="68"/>
    </w:p>
    <w:p w:rsidR="00F60B5F" w:rsidRDefault="00F60B5F" w:rsidP="002C3A09">
      <w:r>
        <w:t>Tax expenditures are concessions, benefits and incentives delivered through the tax system which result in preferential treatment of certain taxpayers, activities or assets compared with the normal taxation treatment. This can include tax</w:t>
      </w:r>
      <w:r>
        <w:noBreakHyphen/>
        <w:t>free thresholds, exemptions or reduced rates, and deductions or rebates of a tax for a certain class of taxpayer, activity or asset. Tax expenditures exclude broadly applicable marginal tax rates as part of a tax scale.</w:t>
      </w:r>
    </w:p>
    <w:p w:rsidR="00F60B5F" w:rsidRDefault="00F60B5F" w:rsidP="002C3A09">
      <w:r>
        <w:t>Table C.1 shows aggregate tax expenditure estimates, excluding the effect of the tax</w:t>
      </w:r>
      <w:r>
        <w:noBreakHyphen/>
        <w:t>free thresholds for land tax and payroll tax, by the main categories of tax.</w:t>
      </w:r>
    </w:p>
    <w:p w:rsidR="00F60B5F" w:rsidRPr="00491D7F" w:rsidRDefault="00F60B5F" w:rsidP="002C3A09">
      <w:r w:rsidRPr="00491D7F">
        <w:t>The 2013</w:t>
      </w:r>
      <w:r>
        <w:noBreakHyphen/>
      </w:r>
      <w:r w:rsidRPr="00491D7F">
        <w:t>14 estimate for total tax expenditures is $</w:t>
      </w:r>
      <w:r>
        <w:t>4.2 billion</w:t>
      </w:r>
      <w:r w:rsidRPr="00491D7F">
        <w:t>. This is $2</w:t>
      </w:r>
      <w:r>
        <w:t>10 million</w:t>
      </w:r>
      <w:r w:rsidRPr="00491D7F">
        <w:t xml:space="preserve"> lower than the 2012</w:t>
      </w:r>
      <w:r>
        <w:noBreakHyphen/>
      </w:r>
      <w:r w:rsidRPr="00491D7F">
        <w:t xml:space="preserve">13 estimate and is largely driven by </w:t>
      </w:r>
      <w:r>
        <w:t xml:space="preserve">a decrease in the stamp duty concessions for </w:t>
      </w:r>
      <w:r w:rsidRPr="00491D7F">
        <w:t>corporate reconstruction</w:t>
      </w:r>
      <w:r>
        <w:t xml:space="preserve"> after unusually high levels in </w:t>
      </w:r>
      <w:r w:rsidRPr="00491D7F">
        <w:t>201</w:t>
      </w:r>
      <w:r>
        <w:t>2</w:t>
      </w:r>
      <w:r>
        <w:noBreakHyphen/>
        <w:t>1</w:t>
      </w:r>
      <w:r w:rsidRPr="00491D7F">
        <w:t>3.</w:t>
      </w:r>
    </w:p>
    <w:p w:rsidR="00F60B5F" w:rsidRPr="00AE49E2" w:rsidRDefault="00F60B5F" w:rsidP="002C3A09">
      <w:pPr>
        <w:rPr>
          <w:highlight w:val="lightGray"/>
        </w:rPr>
      </w:pPr>
      <w:r w:rsidRPr="00DE4E4D">
        <w:t>The 2013</w:t>
      </w:r>
      <w:r>
        <w:noBreakHyphen/>
      </w:r>
      <w:r w:rsidRPr="00DE4E4D">
        <w:t>14 estimate is $14</w:t>
      </w:r>
      <w:r>
        <w:t>1 million</w:t>
      </w:r>
      <w:r w:rsidRPr="00DE4E4D">
        <w:t xml:space="preserve"> higher than that published in the </w:t>
      </w:r>
      <w:r w:rsidRPr="00DE4E4D">
        <w:rPr>
          <w:i/>
        </w:rPr>
        <w:t>2013</w:t>
      </w:r>
      <w:r>
        <w:rPr>
          <w:i/>
        </w:rPr>
        <w:noBreakHyphen/>
      </w:r>
      <w:r w:rsidRPr="00DE4E4D">
        <w:rPr>
          <w:i/>
        </w:rPr>
        <w:t xml:space="preserve">14 Budget. </w:t>
      </w:r>
      <w:r w:rsidRPr="00DE4E4D">
        <w:t>This is driven by higher land tax and land transfer duties tax expenditures</w:t>
      </w:r>
      <w:r>
        <w:t>, in line with the recovery in the property market. The increase in congestion levy tax expenditures between 2013</w:t>
      </w:r>
      <w:r>
        <w:noBreakHyphen/>
        <w:t>14 and 2014</w:t>
      </w:r>
      <w:r>
        <w:noBreakHyphen/>
        <w:t xml:space="preserve">15 reflects new policy measures introduced in the </w:t>
      </w:r>
      <w:r w:rsidRPr="00DE4E4D">
        <w:rPr>
          <w:i/>
        </w:rPr>
        <w:t>2013</w:t>
      </w:r>
      <w:r>
        <w:rPr>
          <w:i/>
        </w:rPr>
        <w:noBreakHyphen/>
      </w:r>
      <w:r w:rsidRPr="00DE4E4D">
        <w:rPr>
          <w:i/>
        </w:rPr>
        <w:t>14</w:t>
      </w:r>
      <w:r>
        <w:rPr>
          <w:i/>
        </w:rPr>
        <w:t> </w:t>
      </w:r>
      <w:r w:rsidRPr="00DE4E4D">
        <w:rPr>
          <w:i/>
        </w:rPr>
        <w:t>Budget</w:t>
      </w:r>
      <w:r>
        <w:rPr>
          <w:i/>
        </w:rPr>
        <w:t xml:space="preserve"> Update.</w:t>
      </w:r>
    </w:p>
    <w:p w:rsidR="00F60B5F" w:rsidRPr="00CA10A2" w:rsidRDefault="00F60B5F" w:rsidP="00CA10A2">
      <w:pPr>
        <w:pStyle w:val="Tableheading"/>
        <w:rPr>
          <w:rFonts w:ascii="Times New Roman" w:hAnsi="Times New Roman"/>
          <w:sz w:val="20"/>
          <w:lang w:eastAsia="en-AU"/>
        </w:rPr>
      </w:pPr>
      <w:r>
        <w:t>Table C.1:</w:t>
      </w:r>
      <w:r>
        <w:tab/>
      </w:r>
      <w:r w:rsidRPr="00473EB4">
        <w:t>Aggregate tax expenditures (excluding thresholds) by type of tax</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820"/>
        <w:gridCol w:w="993"/>
        <w:gridCol w:w="993"/>
        <w:gridCol w:w="993"/>
        <w:gridCol w:w="993"/>
      </w:tblGrid>
      <w:tr w:rsidR="00F60B5F" w:rsidRPr="00CA10A2" w:rsidTr="00CA10A2">
        <w:tc>
          <w:tcPr>
            <w:tcW w:w="2984" w:type="dxa"/>
            <w:tcBorders>
              <w:top w:val="single" w:sz="4" w:space="0" w:color="auto"/>
              <w:left w:val="single" w:sz="4" w:space="0" w:color="auto"/>
              <w:bottom w:val="nil"/>
              <w:right w:val="nil"/>
            </w:tcBorders>
            <w:shd w:val="clear" w:color="auto" w:fill="000000"/>
          </w:tcPr>
          <w:p w:rsidR="00F60B5F" w:rsidRPr="00CA10A2" w:rsidRDefault="00F60B5F" w:rsidP="00CA10A2">
            <w:pPr>
              <w:pStyle w:val="Tabletext"/>
              <w:rPr>
                <w:rFonts w:eastAsiaTheme="minorEastAsia"/>
                <w:lang w:eastAsia="en-AU"/>
              </w:rPr>
            </w:pPr>
          </w:p>
        </w:tc>
        <w:tc>
          <w:tcPr>
            <w:tcW w:w="820" w:type="dxa"/>
            <w:tcBorders>
              <w:top w:val="single" w:sz="4" w:space="0" w:color="auto"/>
              <w:left w:val="nil"/>
              <w:bottom w:val="nil"/>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2012</w:t>
            </w:r>
            <w:r>
              <w:rPr>
                <w:rFonts w:eastAsiaTheme="minorEastAsia"/>
                <w:lang w:eastAsia="en-AU"/>
              </w:rPr>
              <w:noBreakHyphen/>
            </w:r>
            <w:r w:rsidRPr="00CA10A2">
              <w:rPr>
                <w:rFonts w:eastAsiaTheme="minorEastAsia"/>
                <w:lang w:eastAsia="en-AU"/>
              </w:rPr>
              <w:t>13</w:t>
            </w:r>
          </w:p>
        </w:tc>
        <w:tc>
          <w:tcPr>
            <w:tcW w:w="993" w:type="dxa"/>
            <w:tcBorders>
              <w:top w:val="single" w:sz="4" w:space="0" w:color="auto"/>
              <w:left w:val="nil"/>
              <w:bottom w:val="nil"/>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2013</w:t>
            </w:r>
            <w:r>
              <w:rPr>
                <w:rFonts w:eastAsiaTheme="minorEastAsia"/>
                <w:lang w:eastAsia="en-AU"/>
              </w:rPr>
              <w:noBreakHyphen/>
            </w:r>
            <w:r w:rsidRPr="00CA10A2">
              <w:rPr>
                <w:rFonts w:eastAsiaTheme="minorEastAsia"/>
                <w:lang w:eastAsia="en-AU"/>
              </w:rPr>
              <w:t>14</w:t>
            </w:r>
          </w:p>
        </w:tc>
        <w:tc>
          <w:tcPr>
            <w:tcW w:w="993" w:type="dxa"/>
            <w:tcBorders>
              <w:top w:val="single" w:sz="4" w:space="0" w:color="auto"/>
              <w:left w:val="nil"/>
              <w:bottom w:val="nil"/>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2014</w:t>
            </w:r>
            <w:r>
              <w:rPr>
                <w:rFonts w:eastAsiaTheme="minorEastAsia"/>
                <w:lang w:eastAsia="en-AU"/>
              </w:rPr>
              <w:noBreakHyphen/>
            </w:r>
            <w:r w:rsidRPr="00CA10A2">
              <w:rPr>
                <w:rFonts w:eastAsiaTheme="minorEastAsia"/>
                <w:lang w:eastAsia="en-AU"/>
              </w:rPr>
              <w:t>15</w:t>
            </w:r>
          </w:p>
        </w:tc>
        <w:tc>
          <w:tcPr>
            <w:tcW w:w="993" w:type="dxa"/>
            <w:tcBorders>
              <w:top w:val="single" w:sz="4" w:space="0" w:color="auto"/>
              <w:left w:val="nil"/>
              <w:bottom w:val="nil"/>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2015</w:t>
            </w:r>
            <w:r>
              <w:rPr>
                <w:rFonts w:eastAsiaTheme="minorEastAsia"/>
                <w:lang w:eastAsia="en-AU"/>
              </w:rPr>
              <w:noBreakHyphen/>
            </w:r>
            <w:r w:rsidRPr="00CA10A2">
              <w:rPr>
                <w:rFonts w:eastAsiaTheme="minorEastAsia"/>
                <w:lang w:eastAsia="en-AU"/>
              </w:rPr>
              <w:t>16</w:t>
            </w:r>
          </w:p>
        </w:tc>
        <w:tc>
          <w:tcPr>
            <w:tcW w:w="993" w:type="dxa"/>
            <w:tcBorders>
              <w:top w:val="single" w:sz="4" w:space="0" w:color="auto"/>
              <w:left w:val="nil"/>
              <w:bottom w:val="nil"/>
              <w:right w:val="single" w:sz="4" w:space="0" w:color="auto"/>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2016</w:t>
            </w:r>
            <w:r>
              <w:rPr>
                <w:rFonts w:eastAsiaTheme="minorEastAsia"/>
                <w:lang w:eastAsia="en-AU"/>
              </w:rPr>
              <w:noBreakHyphen/>
            </w:r>
            <w:r w:rsidRPr="00CA10A2">
              <w:rPr>
                <w:rFonts w:eastAsiaTheme="minorEastAsia"/>
                <w:lang w:eastAsia="en-AU"/>
              </w:rPr>
              <w:t>17</w:t>
            </w:r>
          </w:p>
        </w:tc>
      </w:tr>
      <w:tr w:rsidR="00F60B5F" w:rsidRPr="00CA10A2" w:rsidTr="00CA10A2">
        <w:tc>
          <w:tcPr>
            <w:tcW w:w="2984" w:type="dxa"/>
            <w:tcBorders>
              <w:top w:val="nil"/>
              <w:left w:val="single" w:sz="4" w:space="0" w:color="auto"/>
              <w:bottom w:val="single" w:sz="4" w:space="0" w:color="auto"/>
              <w:right w:val="nil"/>
            </w:tcBorders>
            <w:shd w:val="clear" w:color="auto" w:fill="000000"/>
          </w:tcPr>
          <w:p w:rsidR="00F60B5F" w:rsidRPr="00CA10A2" w:rsidRDefault="00F60B5F" w:rsidP="00CA10A2">
            <w:pPr>
              <w:pStyle w:val="Tabletext"/>
              <w:rPr>
                <w:rFonts w:eastAsiaTheme="minorEastAsia"/>
                <w:i/>
                <w:iCs/>
                <w:lang w:eastAsia="en-AU"/>
              </w:rPr>
            </w:pPr>
            <w:r w:rsidRPr="00CA10A2">
              <w:rPr>
                <w:rFonts w:eastAsiaTheme="minorEastAsia"/>
                <w:i/>
                <w:iCs/>
                <w:lang w:eastAsia="en-AU"/>
              </w:rPr>
              <w:t>Description</w:t>
            </w:r>
          </w:p>
        </w:tc>
        <w:tc>
          <w:tcPr>
            <w:tcW w:w="820" w:type="dxa"/>
            <w:tcBorders>
              <w:top w:val="nil"/>
              <w:left w:val="nil"/>
              <w:bottom w:val="single" w:sz="4" w:space="0" w:color="auto"/>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Estimate</w:t>
            </w:r>
          </w:p>
        </w:tc>
      </w:tr>
      <w:tr w:rsidR="00F60B5F" w:rsidRPr="00CA10A2" w:rsidTr="00CA10A2">
        <w:tc>
          <w:tcPr>
            <w:tcW w:w="2984" w:type="dxa"/>
            <w:tcBorders>
              <w:top w:val="single" w:sz="4" w:space="0" w:color="auto"/>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Land tax</w:t>
            </w:r>
          </w:p>
        </w:tc>
        <w:tc>
          <w:tcPr>
            <w:tcW w:w="820" w:type="dxa"/>
            <w:tcBorders>
              <w:top w:val="single" w:sz="4" w:space="0" w:color="auto"/>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2 484.2</w:t>
            </w:r>
          </w:p>
        </w:tc>
        <w:tc>
          <w:tcPr>
            <w:tcW w:w="993" w:type="dxa"/>
            <w:tcBorders>
              <w:top w:val="single" w:sz="4" w:space="0" w:color="auto"/>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2 489.4</w:t>
            </w:r>
          </w:p>
        </w:tc>
        <w:tc>
          <w:tcPr>
            <w:tcW w:w="993" w:type="dxa"/>
            <w:tcBorders>
              <w:top w:val="single" w:sz="4" w:space="0" w:color="auto"/>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2 865.3</w:t>
            </w:r>
          </w:p>
        </w:tc>
        <w:tc>
          <w:tcPr>
            <w:tcW w:w="993" w:type="dxa"/>
            <w:tcBorders>
              <w:top w:val="single" w:sz="4" w:space="0" w:color="auto"/>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2 799.9</w:t>
            </w:r>
          </w:p>
        </w:tc>
        <w:tc>
          <w:tcPr>
            <w:tcW w:w="993" w:type="dxa"/>
            <w:tcBorders>
              <w:top w:val="single" w:sz="4" w:space="0" w:color="auto"/>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3 151.2</w:t>
            </w:r>
          </w:p>
        </w:tc>
      </w:tr>
      <w:tr w:rsidR="00F60B5F" w:rsidRPr="00CA10A2" w:rsidTr="00CA10A2">
        <w:tc>
          <w:tcPr>
            <w:tcW w:w="2984"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Fire services property levy</w:t>
            </w:r>
          </w:p>
        </w:tc>
        <w:tc>
          <w:tcPr>
            <w:tcW w:w="820"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Pr>
                <w:rFonts w:eastAsiaTheme="minorEastAsia"/>
                <w:color w:val="000000"/>
                <w:lang w:eastAsia="en-AU"/>
              </w:rPr>
              <w:t>..</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21.4</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21.6</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21.8</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22.0</w:t>
            </w:r>
          </w:p>
        </w:tc>
      </w:tr>
      <w:tr w:rsidR="00F60B5F" w:rsidRPr="00CA10A2" w:rsidTr="00CA10A2">
        <w:tc>
          <w:tcPr>
            <w:tcW w:w="2984"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Payroll tax</w:t>
            </w:r>
          </w:p>
        </w:tc>
        <w:tc>
          <w:tcPr>
            <w:tcW w:w="820"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1 005.5</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1 034.9</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1 069.1</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1 105.8</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1 144.7</w:t>
            </w:r>
          </w:p>
        </w:tc>
      </w:tr>
      <w:tr w:rsidR="00F60B5F" w:rsidRPr="00CA10A2" w:rsidTr="00CA10A2">
        <w:tc>
          <w:tcPr>
            <w:tcW w:w="2984"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Gambling taxes</w:t>
            </w:r>
          </w:p>
        </w:tc>
        <w:tc>
          <w:tcPr>
            <w:tcW w:w="820"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70.3</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70.6</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72.8</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72.9</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73.3</w:t>
            </w:r>
          </w:p>
        </w:tc>
      </w:tr>
      <w:tr w:rsidR="00F60B5F" w:rsidRPr="00CA10A2" w:rsidTr="00CA10A2">
        <w:tc>
          <w:tcPr>
            <w:tcW w:w="2984"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Motor vehicle taxes</w:t>
            </w:r>
          </w:p>
        </w:tc>
        <w:tc>
          <w:tcPr>
            <w:tcW w:w="820"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111.2</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115.8</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120.5</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125.3</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130.3</w:t>
            </w:r>
          </w:p>
        </w:tc>
      </w:tr>
      <w:tr w:rsidR="00F60B5F" w:rsidRPr="00CA10A2" w:rsidTr="00CA10A2">
        <w:tc>
          <w:tcPr>
            <w:tcW w:w="2984"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Land transfer duties</w:t>
            </w:r>
          </w:p>
        </w:tc>
        <w:tc>
          <w:tcPr>
            <w:tcW w:w="820"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699.1</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438.6</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441.2</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463.5</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480.2</w:t>
            </w:r>
          </w:p>
        </w:tc>
      </w:tr>
      <w:tr w:rsidR="00F60B5F" w:rsidRPr="00CA10A2" w:rsidTr="00CA10A2">
        <w:tc>
          <w:tcPr>
            <w:tcW w:w="2984"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Congestion levy</w:t>
            </w:r>
          </w:p>
        </w:tc>
        <w:tc>
          <w:tcPr>
            <w:tcW w:w="820"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35.5</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25.2</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69.1</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70.8</w:t>
            </w:r>
          </w:p>
        </w:tc>
        <w:tc>
          <w:tcPr>
            <w:tcW w:w="993"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72.6</w:t>
            </w:r>
          </w:p>
        </w:tc>
      </w:tr>
      <w:tr w:rsidR="00F60B5F" w:rsidRPr="00CA10A2" w:rsidTr="00CA10A2">
        <w:tc>
          <w:tcPr>
            <w:tcW w:w="2984" w:type="dxa"/>
            <w:tcBorders>
              <w:top w:val="single" w:sz="6" w:space="0" w:color="auto"/>
              <w:left w:val="nil"/>
              <w:bottom w:val="single" w:sz="12" w:space="0" w:color="auto"/>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Total estimated tax expenditures</w:t>
            </w:r>
          </w:p>
        </w:tc>
        <w:tc>
          <w:tcPr>
            <w:tcW w:w="820" w:type="dxa"/>
            <w:tcBorders>
              <w:top w:val="single" w:sz="6" w:space="0" w:color="auto"/>
              <w:left w:val="nil"/>
              <w:bottom w:val="single" w:sz="12" w:space="0" w:color="auto"/>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4 405.8</w:t>
            </w:r>
          </w:p>
        </w:tc>
        <w:tc>
          <w:tcPr>
            <w:tcW w:w="993" w:type="dxa"/>
            <w:tcBorders>
              <w:top w:val="single" w:sz="6" w:space="0" w:color="auto"/>
              <w:left w:val="nil"/>
              <w:bottom w:val="single" w:sz="12" w:space="0" w:color="auto"/>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4 195.9</w:t>
            </w:r>
          </w:p>
        </w:tc>
        <w:tc>
          <w:tcPr>
            <w:tcW w:w="993" w:type="dxa"/>
            <w:tcBorders>
              <w:top w:val="single" w:sz="6" w:space="0" w:color="auto"/>
              <w:left w:val="nil"/>
              <w:bottom w:val="single" w:sz="12" w:space="0" w:color="auto"/>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4 659.5</w:t>
            </w:r>
          </w:p>
        </w:tc>
        <w:tc>
          <w:tcPr>
            <w:tcW w:w="993" w:type="dxa"/>
            <w:tcBorders>
              <w:top w:val="single" w:sz="6" w:space="0" w:color="auto"/>
              <w:left w:val="nil"/>
              <w:bottom w:val="single" w:sz="12" w:space="0" w:color="auto"/>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4 659.9</w:t>
            </w:r>
          </w:p>
        </w:tc>
        <w:tc>
          <w:tcPr>
            <w:tcW w:w="993" w:type="dxa"/>
            <w:tcBorders>
              <w:top w:val="single" w:sz="6" w:space="0" w:color="auto"/>
              <w:left w:val="nil"/>
              <w:bottom w:val="single" w:sz="12" w:space="0" w:color="auto"/>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5 074.2</w:t>
            </w:r>
          </w:p>
        </w:tc>
      </w:tr>
    </w:tbl>
    <w:p w:rsidR="00F60B5F" w:rsidRDefault="00F60B5F" w:rsidP="00A36870">
      <w:pPr>
        <w:pStyle w:val="Source"/>
      </w:pPr>
      <w:r w:rsidRPr="007E38F9">
        <w:t>Source: Department of Treasury and Finance</w:t>
      </w:r>
    </w:p>
    <w:p w:rsidR="00F60B5F" w:rsidRDefault="00F60B5F" w:rsidP="00A36870">
      <w:pPr>
        <w:pStyle w:val="Source"/>
        <w:rPr>
          <w:rFonts w:asciiTheme="minorHAnsi" w:hAnsiTheme="minorHAnsi" w:cstheme="minorHAnsi"/>
          <w:b/>
          <w:sz w:val="26"/>
          <w:szCs w:val="26"/>
        </w:rPr>
      </w:pPr>
      <w:r>
        <w:rPr>
          <w:rFonts w:asciiTheme="minorHAnsi" w:hAnsiTheme="minorHAnsi" w:cstheme="minorHAnsi"/>
          <w:b/>
          <w:sz w:val="26"/>
          <w:szCs w:val="26"/>
        </w:rPr>
        <w:br w:type="page"/>
      </w:r>
    </w:p>
    <w:p w:rsidR="00F60B5F" w:rsidRPr="00BD61E6" w:rsidRDefault="00F60B5F" w:rsidP="00CA10A2">
      <w:pPr>
        <w:pStyle w:val="Heading1"/>
      </w:pPr>
      <w:bookmarkStart w:id="69" w:name="_Toc374373976"/>
      <w:r w:rsidRPr="00BD61E6">
        <w:t>Concessions</w:t>
      </w:r>
      <w:bookmarkEnd w:id="69"/>
    </w:p>
    <w:p w:rsidR="00F60B5F" w:rsidRDefault="00F60B5F" w:rsidP="004D1949">
      <w:r>
        <w:t>Concessions are a direct budget outlay or reduction in government charges that reduce the price of a good or service for particular groups. Certain characteristics of the consumer, such as possession of a Commonwealth pension card or a health care card, are the basis for entitlement. Concessions allow certain groups in the community to access or purchase important amenities like energy, education, health and transportation at a cheaper or zero cost.</w:t>
      </w:r>
    </w:p>
    <w:p w:rsidR="00F60B5F" w:rsidRDefault="00F60B5F" w:rsidP="00822FCC">
      <w:r>
        <w:t>Table C.2 classifies the major concessions provided by the Victorian Government into categories</w:t>
      </w:r>
      <w:r w:rsidRPr="00BC3EB8">
        <w:t xml:space="preserve">. </w:t>
      </w:r>
      <w:r>
        <w:t>The value of concessions has declined slightly by around $16 million between 2012</w:t>
      </w:r>
      <w:r>
        <w:noBreakHyphen/>
        <w:t>13 and 2013</w:t>
      </w:r>
      <w:r>
        <w:noBreakHyphen/>
        <w:t xml:space="preserve">14, and the </w:t>
      </w:r>
      <w:r w:rsidRPr="009021BC">
        <w:t>2013</w:t>
      </w:r>
      <w:r>
        <w:noBreakHyphen/>
      </w:r>
      <w:r w:rsidRPr="009021BC">
        <w:t>14 estimate is $9</w:t>
      </w:r>
      <w:r>
        <w:t> million</w:t>
      </w:r>
      <w:r w:rsidRPr="009021BC">
        <w:t xml:space="preserve"> lower than the </w:t>
      </w:r>
      <w:r w:rsidRPr="009021BC">
        <w:rPr>
          <w:i/>
        </w:rPr>
        <w:t>2013</w:t>
      </w:r>
      <w:r>
        <w:rPr>
          <w:i/>
        </w:rPr>
        <w:noBreakHyphen/>
      </w:r>
      <w:r w:rsidRPr="009021BC">
        <w:rPr>
          <w:i/>
        </w:rPr>
        <w:t>14 Budget</w:t>
      </w:r>
      <w:r w:rsidRPr="009021BC">
        <w:t xml:space="preserve"> estimate of $</w:t>
      </w:r>
      <w:r>
        <w:t>1.6 billion</w:t>
      </w:r>
      <w:r w:rsidRPr="009021BC">
        <w:t>.</w:t>
      </w:r>
      <w:r>
        <w:t xml:space="preserve"> </w:t>
      </w:r>
    </w:p>
    <w:p w:rsidR="00F60B5F" w:rsidRPr="00CA10A2" w:rsidRDefault="00F60B5F" w:rsidP="00CA10A2">
      <w:pPr>
        <w:pStyle w:val="Tableheading"/>
      </w:pPr>
      <w:r w:rsidRPr="00927101">
        <w:t>Table C.2:</w:t>
      </w:r>
      <w:r w:rsidRPr="00927101">
        <w:tab/>
        <w:t>Concessions by category</w:t>
      </w:r>
    </w:p>
    <w:tbl>
      <w:tblPr>
        <w:tblW w:w="7776" w:type="dxa"/>
        <w:tblInd w:w="29" w:type="dxa"/>
        <w:tblLayout w:type="fixed"/>
        <w:tblCellMar>
          <w:left w:w="43" w:type="dxa"/>
          <w:right w:w="43" w:type="dxa"/>
        </w:tblCellMar>
        <w:tblLook w:val="0000" w:firstRow="0" w:lastRow="0" w:firstColumn="0" w:lastColumn="0" w:noHBand="0" w:noVBand="0"/>
      </w:tblPr>
      <w:tblGrid>
        <w:gridCol w:w="5704"/>
        <w:gridCol w:w="1036"/>
        <w:gridCol w:w="1036"/>
      </w:tblGrid>
      <w:tr w:rsidR="00F60B5F" w:rsidRPr="00CA10A2" w:rsidTr="00CA10A2">
        <w:tc>
          <w:tcPr>
            <w:tcW w:w="5702" w:type="dxa"/>
            <w:tcBorders>
              <w:top w:val="single" w:sz="4" w:space="0" w:color="auto"/>
              <w:left w:val="single" w:sz="4" w:space="0" w:color="auto"/>
              <w:bottom w:val="nil"/>
              <w:right w:val="nil"/>
            </w:tcBorders>
            <w:shd w:val="clear" w:color="auto" w:fill="000000"/>
          </w:tcPr>
          <w:p w:rsidR="00F60B5F" w:rsidRPr="00CA10A2" w:rsidRDefault="00F60B5F" w:rsidP="00CA10A2">
            <w:pPr>
              <w:pStyle w:val="Tabletext"/>
              <w:rPr>
                <w:rFonts w:eastAsiaTheme="minorEastAsia"/>
                <w:lang w:eastAsia="en-AU"/>
              </w:rPr>
            </w:pPr>
            <w:r w:rsidRPr="00CA10A2">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2012</w:t>
            </w:r>
            <w:r>
              <w:rPr>
                <w:rFonts w:eastAsiaTheme="minorEastAsia"/>
                <w:lang w:eastAsia="en-AU"/>
              </w:rPr>
              <w:noBreakHyphen/>
            </w:r>
            <w:r w:rsidRPr="00CA10A2">
              <w:rPr>
                <w:rFonts w:eastAsiaTheme="minorEastAsia"/>
                <w:lang w:eastAsia="en-AU"/>
              </w:rPr>
              <w:t>13</w:t>
            </w:r>
          </w:p>
        </w:tc>
        <w:tc>
          <w:tcPr>
            <w:tcW w:w="1036" w:type="dxa"/>
            <w:tcBorders>
              <w:top w:val="single" w:sz="4" w:space="0" w:color="auto"/>
              <w:left w:val="nil"/>
              <w:bottom w:val="nil"/>
              <w:right w:val="single" w:sz="4" w:space="0" w:color="auto"/>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2013</w:t>
            </w:r>
            <w:r>
              <w:rPr>
                <w:rFonts w:eastAsiaTheme="minorEastAsia"/>
                <w:lang w:eastAsia="en-AU"/>
              </w:rPr>
              <w:noBreakHyphen/>
            </w:r>
            <w:r w:rsidRPr="00CA10A2">
              <w:rPr>
                <w:rFonts w:eastAsiaTheme="minorEastAsia"/>
                <w:lang w:eastAsia="en-AU"/>
              </w:rPr>
              <w:t>14</w:t>
            </w:r>
          </w:p>
        </w:tc>
      </w:tr>
      <w:tr w:rsidR="00F60B5F" w:rsidRPr="00CA10A2" w:rsidTr="00CA10A2">
        <w:tc>
          <w:tcPr>
            <w:tcW w:w="5702" w:type="dxa"/>
            <w:tcBorders>
              <w:top w:val="nil"/>
              <w:left w:val="single" w:sz="4" w:space="0" w:color="auto"/>
              <w:bottom w:val="single" w:sz="4" w:space="0" w:color="auto"/>
              <w:right w:val="nil"/>
            </w:tcBorders>
            <w:shd w:val="clear" w:color="auto" w:fill="000000"/>
          </w:tcPr>
          <w:p w:rsidR="00F60B5F" w:rsidRPr="00CA10A2" w:rsidRDefault="00F60B5F" w:rsidP="00CA10A2">
            <w:pPr>
              <w:pStyle w:val="Tabletext"/>
              <w:rPr>
                <w:rFonts w:eastAsiaTheme="minorEastAsia"/>
                <w:i/>
                <w:iCs/>
                <w:lang w:eastAsia="en-AU"/>
              </w:rPr>
            </w:pPr>
            <w:r w:rsidRPr="00CA10A2">
              <w:rPr>
                <w:rFonts w:eastAsiaTheme="minorEastAsia"/>
                <w:i/>
                <w:iCs/>
                <w:lang w:eastAsia="en-AU"/>
              </w:rPr>
              <w:t>Description</w:t>
            </w:r>
          </w:p>
        </w:tc>
        <w:tc>
          <w:tcPr>
            <w:tcW w:w="1036" w:type="dxa"/>
            <w:tcBorders>
              <w:top w:val="nil"/>
              <w:left w:val="nil"/>
              <w:bottom w:val="single" w:sz="4" w:space="0" w:color="auto"/>
              <w:right w:val="nil"/>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Estimate</w:t>
            </w:r>
          </w:p>
        </w:tc>
        <w:tc>
          <w:tcPr>
            <w:tcW w:w="1036" w:type="dxa"/>
            <w:tcBorders>
              <w:top w:val="nil"/>
              <w:left w:val="nil"/>
              <w:bottom w:val="single" w:sz="4" w:space="0" w:color="auto"/>
              <w:right w:val="single" w:sz="4" w:space="0" w:color="auto"/>
            </w:tcBorders>
            <w:shd w:val="clear" w:color="auto" w:fill="000000"/>
          </w:tcPr>
          <w:p w:rsidR="00F60B5F" w:rsidRPr="00CA10A2" w:rsidRDefault="00F60B5F" w:rsidP="00CA10A2">
            <w:pPr>
              <w:pStyle w:val="Tabletextheading"/>
              <w:rPr>
                <w:rFonts w:eastAsiaTheme="minorEastAsia"/>
                <w:lang w:eastAsia="en-AU"/>
              </w:rPr>
            </w:pPr>
            <w:r w:rsidRPr="00CA10A2">
              <w:rPr>
                <w:rFonts w:eastAsiaTheme="minorEastAsia"/>
                <w:lang w:eastAsia="en-AU"/>
              </w:rPr>
              <w:t>Estimate</w:t>
            </w:r>
          </w:p>
        </w:tc>
      </w:tr>
      <w:tr w:rsidR="00F60B5F" w:rsidRPr="00CA10A2" w:rsidTr="00CA10A2">
        <w:tc>
          <w:tcPr>
            <w:tcW w:w="5702" w:type="dxa"/>
            <w:tcBorders>
              <w:top w:val="single" w:sz="4" w:space="0" w:color="auto"/>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Electricity</w:t>
            </w:r>
          </w:p>
        </w:tc>
        <w:tc>
          <w:tcPr>
            <w:tcW w:w="1036" w:type="dxa"/>
            <w:tcBorders>
              <w:top w:val="single" w:sz="4" w:space="0" w:color="auto"/>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171.9</w:t>
            </w:r>
          </w:p>
        </w:tc>
        <w:tc>
          <w:tcPr>
            <w:tcW w:w="1036" w:type="dxa"/>
            <w:tcBorders>
              <w:top w:val="single" w:sz="4" w:space="0" w:color="auto"/>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177.2</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Mains gas</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62.0</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58.1</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Municipal rates</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84.6</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87.5</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Water and sewerage</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152.2</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154.1</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Total energy, municipal rates, water and sewerage</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470.6</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477.0</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Ambulance</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423.2</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403.0</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Dental services and spectacles</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116.4</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114.7</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color w:val="000000"/>
                <w:lang w:eastAsia="en-AU"/>
              </w:rPr>
            </w:pPr>
            <w:r w:rsidRPr="00CA10A2">
              <w:rPr>
                <w:rFonts w:eastAsiaTheme="minorEastAsia"/>
                <w:color w:val="000000"/>
                <w:lang w:eastAsia="en-AU"/>
              </w:rPr>
              <w:t>Community health programs</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93.0</w:t>
            </w:r>
          </w:p>
        </w:tc>
        <w:tc>
          <w:tcPr>
            <w:tcW w:w="1036" w:type="dxa"/>
            <w:tcBorders>
              <w:top w:val="nil"/>
              <w:left w:val="nil"/>
              <w:bottom w:val="nil"/>
              <w:right w:val="nil"/>
            </w:tcBorders>
          </w:tcPr>
          <w:p w:rsidR="00F60B5F" w:rsidRPr="00CA10A2" w:rsidRDefault="00F60B5F" w:rsidP="00CA10A2">
            <w:pPr>
              <w:pStyle w:val="TableofFigures"/>
              <w:rPr>
                <w:rFonts w:eastAsiaTheme="minorEastAsia"/>
                <w:color w:val="000000"/>
                <w:lang w:eastAsia="en-AU"/>
              </w:rPr>
            </w:pPr>
            <w:r w:rsidRPr="00CA10A2">
              <w:rPr>
                <w:rFonts w:eastAsiaTheme="minorEastAsia"/>
                <w:color w:val="000000"/>
                <w:lang w:eastAsia="en-AU"/>
              </w:rPr>
              <w:t xml:space="preserve"> 95.9</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Total health</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632.5</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613.6</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Education</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138.4</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124.4</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Hardship schemes</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32.0</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37.4</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Social and community services</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4.7</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4.7</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Private transport</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178.3</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177.7</w:t>
            </w:r>
          </w:p>
        </w:tc>
      </w:tr>
      <w:tr w:rsidR="00F60B5F" w:rsidRPr="00CA10A2" w:rsidTr="00CA10A2">
        <w:tc>
          <w:tcPr>
            <w:tcW w:w="5702" w:type="dxa"/>
            <w:tcBorders>
              <w:top w:val="nil"/>
              <w:left w:val="nil"/>
              <w:bottom w:val="nil"/>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Public transport</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129.0</w:t>
            </w:r>
          </w:p>
        </w:tc>
        <w:tc>
          <w:tcPr>
            <w:tcW w:w="1036" w:type="dxa"/>
            <w:tcBorders>
              <w:top w:val="nil"/>
              <w:left w:val="nil"/>
              <w:bottom w:val="nil"/>
              <w:right w:val="nil"/>
            </w:tcBorders>
          </w:tcPr>
          <w:p w:rsidR="00F60B5F" w:rsidRPr="00CA10A2" w:rsidRDefault="00F60B5F" w:rsidP="00CA10A2">
            <w:pPr>
              <w:pStyle w:val="TableofFigures"/>
              <w:rPr>
                <w:rFonts w:eastAsiaTheme="minorEastAsia"/>
                <w:b/>
                <w:bCs/>
                <w:color w:val="000000"/>
                <w:lang w:eastAsia="en-AU"/>
              </w:rPr>
            </w:pPr>
            <w:r w:rsidRPr="00CA10A2">
              <w:rPr>
                <w:rFonts w:eastAsiaTheme="minorEastAsia"/>
                <w:b/>
                <w:bCs/>
                <w:color w:val="000000"/>
                <w:lang w:eastAsia="en-AU"/>
              </w:rPr>
              <w:t xml:space="preserve"> 134.9</w:t>
            </w:r>
          </w:p>
        </w:tc>
      </w:tr>
      <w:tr w:rsidR="00F60B5F" w:rsidRPr="00CA10A2" w:rsidTr="00CA10A2">
        <w:tc>
          <w:tcPr>
            <w:tcW w:w="5702" w:type="dxa"/>
            <w:tcBorders>
              <w:top w:val="single" w:sz="6" w:space="0" w:color="auto"/>
              <w:left w:val="nil"/>
              <w:bottom w:val="single" w:sz="12" w:space="0" w:color="auto"/>
              <w:right w:val="nil"/>
            </w:tcBorders>
          </w:tcPr>
          <w:p w:rsidR="00F60B5F" w:rsidRPr="00CA10A2" w:rsidRDefault="00F60B5F" w:rsidP="00CA10A2">
            <w:pPr>
              <w:pStyle w:val="Tabletext"/>
              <w:rPr>
                <w:rFonts w:eastAsiaTheme="minorEastAsia"/>
                <w:b/>
                <w:bCs/>
                <w:color w:val="000000"/>
                <w:lang w:eastAsia="en-AU"/>
              </w:rPr>
            </w:pPr>
            <w:r w:rsidRPr="00CA10A2">
              <w:rPr>
                <w:rFonts w:eastAsiaTheme="minorEastAsia"/>
                <w:b/>
                <w:bCs/>
                <w:color w:val="000000"/>
                <w:lang w:eastAsia="en-AU"/>
              </w:rPr>
              <w:t>Total for items estimated</w:t>
            </w:r>
          </w:p>
        </w:tc>
        <w:tc>
          <w:tcPr>
            <w:tcW w:w="1036" w:type="dxa"/>
            <w:tcBorders>
              <w:top w:val="single" w:sz="6" w:space="0" w:color="auto"/>
              <w:left w:val="nil"/>
              <w:bottom w:val="single" w:sz="12" w:space="0" w:color="auto"/>
              <w:right w:val="nil"/>
            </w:tcBorders>
          </w:tcPr>
          <w:p w:rsidR="00F60B5F" w:rsidRPr="00CA10A2" w:rsidRDefault="00F60B5F" w:rsidP="00CA10A2">
            <w:pPr>
              <w:pStyle w:val="TableofFigures"/>
              <w:rPr>
                <w:rFonts w:eastAsiaTheme="minorEastAsia" w:cs="Calibri"/>
                <w:b/>
                <w:bCs/>
                <w:color w:val="000000"/>
                <w:lang w:eastAsia="en-AU"/>
              </w:rPr>
            </w:pPr>
            <w:r w:rsidRPr="00CA10A2">
              <w:rPr>
                <w:rFonts w:eastAsiaTheme="minorEastAsia"/>
                <w:b/>
                <w:bCs/>
                <w:color w:val="000000"/>
                <w:lang w:eastAsia="en-AU"/>
              </w:rPr>
              <w:t>1 585.5</w:t>
            </w:r>
          </w:p>
        </w:tc>
        <w:tc>
          <w:tcPr>
            <w:tcW w:w="1036" w:type="dxa"/>
            <w:tcBorders>
              <w:top w:val="single" w:sz="6" w:space="0" w:color="auto"/>
              <w:left w:val="nil"/>
              <w:bottom w:val="single" w:sz="12" w:space="0" w:color="auto"/>
              <w:right w:val="nil"/>
            </w:tcBorders>
          </w:tcPr>
          <w:p w:rsidR="00F60B5F" w:rsidRPr="00CA10A2" w:rsidRDefault="00F60B5F" w:rsidP="00CA10A2">
            <w:pPr>
              <w:pStyle w:val="TableofFigures"/>
              <w:rPr>
                <w:rFonts w:eastAsiaTheme="minorEastAsia" w:cs="Calibri"/>
                <w:b/>
                <w:bCs/>
                <w:color w:val="000000"/>
                <w:lang w:eastAsia="en-AU"/>
              </w:rPr>
            </w:pPr>
            <w:r w:rsidRPr="00CA10A2">
              <w:rPr>
                <w:rFonts w:eastAsiaTheme="minorEastAsia"/>
                <w:b/>
                <w:bCs/>
                <w:color w:val="000000"/>
                <w:lang w:eastAsia="en-AU"/>
              </w:rPr>
              <w:t>1 569.6</w:t>
            </w:r>
          </w:p>
        </w:tc>
      </w:tr>
    </w:tbl>
    <w:p w:rsidR="00F60B5F" w:rsidRDefault="00F60B5F" w:rsidP="009A6988">
      <w:pPr>
        <w:pStyle w:val="Source"/>
      </w:pPr>
      <w:r w:rsidRPr="007E38F9">
        <w:t>Source: Department of Treasury and Finance</w:t>
      </w:r>
    </w:p>
    <w:p w:rsidR="00F60B5F" w:rsidRPr="009A6988" w:rsidRDefault="00F60B5F" w:rsidP="009A6988"/>
    <w:p w:rsidR="00F60B5F" w:rsidRDefault="00F60B5F" w:rsidP="00856AFF"/>
    <w:p w:rsidR="00F60B5F" w:rsidRDefault="00F60B5F" w:rsidP="00856AFF">
      <w:pPr>
        <w:sectPr w:rsidR="00F60B5F" w:rsidSect="006C00BC">
          <w:footerReference w:type="even" r:id="rId41"/>
          <w:footerReference w:type="default" r:id="rId42"/>
          <w:type w:val="oddPage"/>
          <w:pgSz w:w="9979" w:h="14181" w:code="138"/>
          <w:pgMar w:top="1138" w:right="1138" w:bottom="1138" w:left="1138" w:header="720" w:footer="720" w:gutter="0"/>
          <w:cols w:space="708"/>
          <w:docGrid w:linePitch="360"/>
        </w:sectPr>
      </w:pPr>
    </w:p>
    <w:p w:rsidR="00F60B5F" w:rsidRDefault="00F60B5F" w:rsidP="009445B6">
      <w:pPr>
        <w:pStyle w:val="ChapterHeading"/>
      </w:pPr>
      <w:bookmarkStart w:id="70" w:name="_Toc374373977"/>
      <w:r w:rsidRPr="009445B6">
        <w:t>Appendix</w:t>
      </w:r>
      <w:r>
        <w:rPr>
          <w:caps w:val="0"/>
        </w:rPr>
        <w:t> D</w:t>
      </w:r>
      <w:r>
        <w:t xml:space="preserve"> – Sensitivity analysis</w:t>
      </w:r>
      <w:bookmarkEnd w:id="70"/>
    </w:p>
    <w:p w:rsidR="00F60B5F" w:rsidRDefault="00F60B5F" w:rsidP="00F76F05">
      <w:r>
        <w:t xml:space="preserve">The economic forecasts and assumptions underpinning the </w:t>
      </w:r>
      <w:r>
        <w:rPr>
          <w:i/>
        </w:rPr>
        <w:t>2013</w:t>
      </w:r>
      <w:r>
        <w:rPr>
          <w:i/>
        </w:rPr>
        <w:noBreakHyphen/>
      </w:r>
      <w:r w:rsidRPr="00F76F05">
        <w:rPr>
          <w:i/>
        </w:rPr>
        <w:t>14 Budget Update</w:t>
      </w:r>
      <w:r>
        <w:t xml:space="preserve"> are subject to variation. This section analyses the impact of variations in these parameters on income, expenses and the net result from transactions for the general government sector.</w:t>
      </w:r>
    </w:p>
    <w:p w:rsidR="00F60B5F" w:rsidRDefault="00F60B5F" w:rsidP="00F76F05">
      <w:r>
        <w:t>Two types of sensitivity analysis are presented. First, the fiscal impact of independent variations in key economic variables is considered. Such analysis may be useful, for example, in considering the impact of forecast error in any individual economic parameter on fiscal aggregates. Second, the simultaneous impact of variations in a number of economic variables is considered with reference to recent historical examples. Such analysis attempts to capture some, though not all, of the interrelationships between economic variables. This is likely to provide a better understanding of the fiscal impact where the general economic environment is materially different from forecast.</w:t>
      </w:r>
    </w:p>
    <w:p w:rsidR="00F60B5F" w:rsidRDefault="00F60B5F" w:rsidP="00F76F05">
      <w:r>
        <w:t>While sensitivity analysis provides a useful indication of the fiscal impact of variations in economic conditions, care should be exercised in using these results. The relationship between economic and fiscal aggregates is complex, and typically depends on the specific characteristics of the economic shock. For example, a property</w:t>
      </w:r>
      <w:r>
        <w:noBreakHyphen/>
        <w:t>led economic downturn is likely to have a very different fiscal impact to one concentrated in the retail sector, even if the overall impact on gross state product (GSP) and employment is similar.</w:t>
      </w:r>
    </w:p>
    <w:p w:rsidR="00F60B5F" w:rsidRPr="00F76F05" w:rsidRDefault="00F60B5F" w:rsidP="00F76F05">
      <w:pPr>
        <w:pStyle w:val="Heading1"/>
      </w:pPr>
      <w:bookmarkStart w:id="71" w:name="_Toc374373978"/>
      <w:r w:rsidRPr="00F76F05">
        <w:t xml:space="preserve">Sensitivity </w:t>
      </w:r>
      <w:r>
        <w:t>t</w:t>
      </w:r>
      <w:r w:rsidRPr="00F76F05">
        <w:t xml:space="preserve">o </w:t>
      </w:r>
      <w:r w:rsidRPr="006C00BC">
        <w:t>independent variations in major economic parameters</w:t>
      </w:r>
      <w:bookmarkEnd w:id="71"/>
    </w:p>
    <w:p w:rsidR="00F60B5F" w:rsidRDefault="00F60B5F" w:rsidP="00F76F05">
      <w:r>
        <w:t>The major economic variables that affect Victoria’s net result from transactions are economic growth, employment, consumer prices, wages, enterprise bargaining agreements, domestic and overseas share prices, property prices and volumes and interest rates.</w:t>
      </w:r>
    </w:p>
    <w:p w:rsidR="00F60B5F" w:rsidRDefault="00F60B5F" w:rsidP="00F76F05">
      <w:r>
        <w:t>Table D.1 presents the sensitivity of the net result from transactions (and where relevant, the net result) to a 1 per cent increase in each variable in isolation from any other changes. The impacts shown in the table are broadly symmetrical. That is, the estimated fiscal impact would apply equally in the opposite direction if a 1 per cent decrease in each variable were considered.</w:t>
      </w:r>
    </w:p>
    <w:p w:rsidR="00F60B5F" w:rsidRDefault="00F60B5F">
      <w:pPr>
        <w:spacing w:after="0"/>
        <w:rPr>
          <w:rFonts w:ascii="Calibri" w:hAnsi="Calibri"/>
          <w:b/>
        </w:rPr>
      </w:pPr>
      <w:r>
        <w:br w:type="page"/>
      </w:r>
    </w:p>
    <w:p w:rsidR="00F60B5F" w:rsidRDefault="00F60B5F" w:rsidP="00F76F05">
      <w:pPr>
        <w:pStyle w:val="Tableheading"/>
        <w:rPr>
          <w:vertAlign w:val="superscript"/>
        </w:rPr>
      </w:pPr>
      <w:r>
        <w:t>Table D.1:</w:t>
      </w:r>
      <w:r>
        <w:tab/>
        <w:t>Sensitivity of key fiscal aggregates to selected economic indicators being 1 per cent higher than expected in 2013</w:t>
      </w:r>
      <w:r>
        <w:noBreakHyphen/>
        <w:t>14</w:t>
      </w:r>
      <w:r w:rsidRPr="00F76F05">
        <w:rPr>
          <w:vertAlign w:val="superscript"/>
        </w:rPr>
        <w:t>(a)(b)(c)</w:t>
      </w:r>
    </w:p>
    <w:p w:rsidR="00F60B5F" w:rsidRPr="00B056A7" w:rsidRDefault="00F60B5F" w:rsidP="00B056A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60B5F" w:rsidRPr="00B056A7" w:rsidTr="00DA21CE">
        <w:trPr>
          <w:tblHeader/>
        </w:trPr>
        <w:tc>
          <w:tcPr>
            <w:tcW w:w="3803" w:type="dxa"/>
            <w:tcBorders>
              <w:top w:val="single" w:sz="6" w:space="0" w:color="auto"/>
              <w:left w:val="single" w:sz="6" w:space="0" w:color="auto"/>
              <w:bottom w:val="single" w:sz="6" w:space="0" w:color="auto"/>
              <w:right w:val="nil"/>
            </w:tcBorders>
            <w:shd w:val="clear" w:color="auto" w:fill="000000"/>
          </w:tcPr>
          <w:p w:rsidR="00F60B5F" w:rsidRPr="00B056A7" w:rsidRDefault="00F60B5F" w:rsidP="00B056A7">
            <w:pPr>
              <w:pStyle w:val="Tabletext"/>
              <w:rPr>
                <w:rFonts w:eastAsiaTheme="minorEastAsia"/>
                <w:lang w:eastAsia="en-AU"/>
              </w:rPr>
            </w:pPr>
          </w:p>
        </w:tc>
        <w:tc>
          <w:tcPr>
            <w:tcW w:w="994" w:type="dxa"/>
            <w:tcBorders>
              <w:top w:val="single" w:sz="6" w:space="0" w:color="auto"/>
              <w:left w:val="nil"/>
              <w:bottom w:val="single" w:sz="6" w:space="0" w:color="auto"/>
              <w:right w:val="nil"/>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2013</w:t>
            </w:r>
            <w:r>
              <w:rPr>
                <w:rFonts w:eastAsiaTheme="minorEastAsia"/>
                <w:lang w:eastAsia="en-AU"/>
              </w:rPr>
              <w:noBreakHyphen/>
            </w:r>
            <w:r w:rsidRPr="00B056A7">
              <w:rPr>
                <w:rFonts w:eastAsiaTheme="minorEastAsia"/>
                <w:lang w:eastAsia="en-AU"/>
              </w:rPr>
              <w:t>14 Estimate</w:t>
            </w:r>
          </w:p>
        </w:tc>
        <w:tc>
          <w:tcPr>
            <w:tcW w:w="993" w:type="dxa"/>
            <w:tcBorders>
              <w:top w:val="single" w:sz="6" w:space="0" w:color="auto"/>
              <w:left w:val="nil"/>
              <w:bottom w:val="single" w:sz="6" w:space="0" w:color="auto"/>
              <w:right w:val="nil"/>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2014</w:t>
            </w:r>
            <w:r>
              <w:rPr>
                <w:rFonts w:eastAsiaTheme="minorEastAsia"/>
                <w:lang w:eastAsia="en-AU"/>
              </w:rPr>
              <w:noBreakHyphen/>
            </w:r>
            <w:r w:rsidRPr="00B056A7">
              <w:rPr>
                <w:rFonts w:eastAsiaTheme="minorEastAsia"/>
                <w:lang w:eastAsia="en-AU"/>
              </w:rPr>
              <w:t>15 Estimate</w:t>
            </w:r>
          </w:p>
        </w:tc>
        <w:tc>
          <w:tcPr>
            <w:tcW w:w="993" w:type="dxa"/>
            <w:tcBorders>
              <w:top w:val="single" w:sz="6" w:space="0" w:color="auto"/>
              <w:left w:val="nil"/>
              <w:bottom w:val="single" w:sz="6" w:space="0" w:color="auto"/>
              <w:right w:val="nil"/>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2015</w:t>
            </w:r>
            <w:r>
              <w:rPr>
                <w:rFonts w:eastAsiaTheme="minorEastAsia"/>
                <w:lang w:eastAsia="en-AU"/>
              </w:rPr>
              <w:noBreakHyphen/>
            </w:r>
            <w:r w:rsidRPr="00B056A7">
              <w:rPr>
                <w:rFonts w:eastAsiaTheme="minorEastAsia"/>
                <w:lang w:eastAsia="en-AU"/>
              </w:rPr>
              <w:t>16 Estimate</w:t>
            </w:r>
          </w:p>
        </w:tc>
        <w:tc>
          <w:tcPr>
            <w:tcW w:w="993" w:type="dxa"/>
            <w:tcBorders>
              <w:top w:val="single" w:sz="6" w:space="0" w:color="auto"/>
              <w:left w:val="nil"/>
              <w:bottom w:val="single" w:sz="6" w:space="0" w:color="auto"/>
              <w:right w:val="single" w:sz="6"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2016</w:t>
            </w:r>
            <w:r>
              <w:rPr>
                <w:rFonts w:eastAsiaTheme="minorEastAsia"/>
                <w:lang w:eastAsia="en-AU"/>
              </w:rPr>
              <w:noBreakHyphen/>
            </w:r>
            <w:r w:rsidRPr="00B056A7">
              <w:rPr>
                <w:rFonts w:eastAsiaTheme="minorEastAsia"/>
                <w:lang w:eastAsia="en-AU"/>
              </w:rPr>
              <w:t>17 Estimate</w:t>
            </w:r>
          </w:p>
        </w:tc>
      </w:tr>
      <w:tr w:rsidR="00F60B5F" w:rsidRPr="00B056A7" w:rsidTr="00DA21CE">
        <w:tc>
          <w:tcPr>
            <w:tcW w:w="3803" w:type="dxa"/>
            <w:tcBorders>
              <w:top w:val="single" w:sz="4" w:space="0" w:color="auto"/>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GSP</w:t>
            </w:r>
          </w:p>
        </w:tc>
        <w:tc>
          <w:tcPr>
            <w:tcW w:w="994" w:type="dxa"/>
            <w:tcBorders>
              <w:top w:val="single" w:sz="4" w:space="0" w:color="auto"/>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single" w:sz="4" w:space="0" w:color="auto"/>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single" w:sz="4" w:space="0" w:color="auto"/>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single" w:sz="4" w:space="0" w:color="auto"/>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178</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185</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196</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209</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7</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(10)</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(19)</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172</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187</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207</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228</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Employment</w:t>
            </w:r>
          </w:p>
        </w:tc>
        <w:tc>
          <w:tcPr>
            <w:tcW w:w="994"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49</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55</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58</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(4)</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(6)</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(9)</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50</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56</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61</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67</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b/>
                <w:bCs/>
                <w:color w:val="000000"/>
                <w:vertAlign w:val="superscript"/>
                <w:lang w:eastAsia="en-AU"/>
              </w:rPr>
            </w:pPr>
            <w:r w:rsidRPr="00B056A7">
              <w:rPr>
                <w:rFonts w:eastAsiaTheme="minorEastAsia"/>
                <w:b/>
                <w:bCs/>
                <w:color w:val="000000"/>
                <w:lang w:eastAsia="en-AU"/>
              </w:rPr>
              <w:t xml:space="preserve">Consumer prices </w:t>
            </w:r>
            <w:r w:rsidRPr="00B056A7">
              <w:rPr>
                <w:rFonts w:eastAsiaTheme="minorEastAsia"/>
                <w:b/>
                <w:bCs/>
                <w:color w:val="000000"/>
                <w:vertAlign w:val="superscript"/>
                <w:lang w:eastAsia="en-AU"/>
              </w:rPr>
              <w:t>(d)</w:t>
            </w:r>
          </w:p>
        </w:tc>
        <w:tc>
          <w:tcPr>
            <w:tcW w:w="994"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298</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310</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323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340</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62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61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39</w:t>
            </w:r>
          </w:p>
        </w:tc>
      </w:tr>
      <w:tr w:rsidR="00F60B5F" w:rsidRPr="00B056A7" w:rsidTr="00DA21CE">
        <w:tc>
          <w:tcPr>
            <w:tcW w:w="3803" w:type="dxa"/>
            <w:tcBorders>
              <w:top w:val="single" w:sz="6" w:space="0" w:color="auto"/>
              <w:left w:val="nil"/>
              <w:bottom w:val="single" w:sz="6"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236</w:t>
            </w:r>
          </w:p>
        </w:tc>
        <w:tc>
          <w:tcPr>
            <w:tcW w:w="993" w:type="dxa"/>
            <w:tcBorders>
              <w:top w:val="single" w:sz="6" w:space="0" w:color="auto"/>
              <w:left w:val="nil"/>
              <w:bottom w:val="single" w:sz="6"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249</w:t>
            </w:r>
          </w:p>
        </w:tc>
        <w:tc>
          <w:tcPr>
            <w:tcW w:w="993" w:type="dxa"/>
            <w:tcBorders>
              <w:top w:val="single" w:sz="6" w:space="0" w:color="auto"/>
              <w:left w:val="nil"/>
              <w:bottom w:val="single" w:sz="6"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272</w:t>
            </w:r>
          </w:p>
        </w:tc>
        <w:tc>
          <w:tcPr>
            <w:tcW w:w="993" w:type="dxa"/>
            <w:tcBorders>
              <w:top w:val="single" w:sz="6" w:space="0" w:color="auto"/>
              <w:left w:val="nil"/>
              <w:bottom w:val="single" w:sz="6"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301</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Other economic flows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237</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250</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273</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302</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 xml:space="preserve">Average weekly earnings </w:t>
            </w:r>
          </w:p>
        </w:tc>
        <w:tc>
          <w:tcPr>
            <w:tcW w:w="994"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45</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47</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50</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7</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37</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40</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44</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48</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b/>
                <w:bCs/>
                <w:color w:val="000000"/>
                <w:vertAlign w:val="superscript"/>
                <w:lang w:eastAsia="en-AU"/>
              </w:rPr>
            </w:pPr>
            <w:r w:rsidRPr="00B056A7">
              <w:rPr>
                <w:rFonts w:eastAsiaTheme="minorEastAsia"/>
                <w:b/>
                <w:bCs/>
                <w:color w:val="000000"/>
                <w:lang w:eastAsia="en-AU"/>
              </w:rPr>
              <w:t xml:space="preserve">Enterprise bargaining agreements </w:t>
            </w:r>
            <w:r w:rsidRPr="00B056A7">
              <w:rPr>
                <w:rFonts w:eastAsiaTheme="minorEastAsia"/>
                <w:b/>
                <w:bCs/>
                <w:color w:val="000000"/>
                <w:vertAlign w:val="superscript"/>
                <w:lang w:eastAsia="en-AU"/>
              </w:rPr>
              <w:t>(e)</w:t>
            </w:r>
          </w:p>
        </w:tc>
        <w:tc>
          <w:tcPr>
            <w:tcW w:w="994"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27</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28</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29</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30</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190</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233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251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267</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(163)</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(205)</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(222)</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(237)</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 xml:space="preserve">Domestic share prices </w:t>
            </w:r>
          </w:p>
        </w:tc>
        <w:tc>
          <w:tcPr>
            <w:tcW w:w="994"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(3)</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 xml:space="preserve">Overseas share prices </w:t>
            </w:r>
          </w:p>
        </w:tc>
        <w:tc>
          <w:tcPr>
            <w:tcW w:w="994"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(2)</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Property prices</w:t>
            </w:r>
          </w:p>
        </w:tc>
        <w:tc>
          <w:tcPr>
            <w:tcW w:w="994"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47</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58</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61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65</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(5)</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(8)</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(11)</w:t>
            </w:r>
          </w:p>
        </w:tc>
      </w:tr>
      <w:tr w:rsidR="00F60B5F" w:rsidRPr="00B056A7" w:rsidTr="00DA21CE">
        <w:tc>
          <w:tcPr>
            <w:tcW w:w="3803" w:type="dxa"/>
            <w:tcBorders>
              <w:top w:val="single" w:sz="6" w:space="0" w:color="auto"/>
              <w:left w:val="nil"/>
              <w:bottom w:val="single" w:sz="6"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48</w:t>
            </w:r>
          </w:p>
        </w:tc>
        <w:tc>
          <w:tcPr>
            <w:tcW w:w="993" w:type="dxa"/>
            <w:tcBorders>
              <w:top w:val="single" w:sz="6" w:space="0" w:color="auto"/>
              <w:left w:val="nil"/>
              <w:bottom w:val="single" w:sz="6"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62</w:t>
            </w:r>
          </w:p>
        </w:tc>
        <w:tc>
          <w:tcPr>
            <w:tcW w:w="993" w:type="dxa"/>
            <w:tcBorders>
              <w:top w:val="single" w:sz="6" w:space="0" w:color="auto"/>
              <w:left w:val="nil"/>
              <w:bottom w:val="single" w:sz="6"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68</w:t>
            </w:r>
          </w:p>
        </w:tc>
        <w:tc>
          <w:tcPr>
            <w:tcW w:w="993" w:type="dxa"/>
            <w:tcBorders>
              <w:top w:val="single" w:sz="6" w:space="0" w:color="auto"/>
              <w:left w:val="nil"/>
              <w:bottom w:val="single" w:sz="6"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75</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Other economic flows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50</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65</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71</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78</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keepNext/>
              <w:ind w:left="187" w:hanging="187"/>
              <w:rPr>
                <w:rFonts w:eastAsiaTheme="minorEastAsia"/>
                <w:b/>
                <w:bCs/>
                <w:color w:val="000000"/>
                <w:lang w:eastAsia="en-AU"/>
              </w:rPr>
            </w:pPr>
            <w:r w:rsidRPr="00B056A7">
              <w:rPr>
                <w:rFonts w:eastAsiaTheme="minorEastAsia"/>
                <w:b/>
                <w:bCs/>
                <w:color w:val="000000"/>
                <w:lang w:eastAsia="en-AU"/>
              </w:rPr>
              <w:t>Property volumes</w:t>
            </w:r>
          </w:p>
        </w:tc>
        <w:tc>
          <w:tcPr>
            <w:tcW w:w="994"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keepNext/>
              <w:ind w:left="187" w:hanging="187"/>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45</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48</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(1)</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(5)</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(8)</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42</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46</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51</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56</w:t>
            </w:r>
          </w:p>
        </w:tc>
      </w:tr>
      <w:tr w:rsidR="00F60B5F" w:rsidRPr="00B056A7" w:rsidTr="00DA21CE">
        <w:trPr>
          <w:cantSplit/>
          <w:trHeight w:hRule="exact" w:val="120"/>
        </w:trPr>
        <w:tc>
          <w:tcPr>
            <w:tcW w:w="3803" w:type="dxa"/>
            <w:tcBorders>
              <w:top w:val="single" w:sz="12" w:space="0" w:color="auto"/>
              <w:left w:val="nil"/>
              <w:right w:val="nil"/>
            </w:tcBorders>
          </w:tcPr>
          <w:p w:rsidR="00F60B5F" w:rsidRPr="00B056A7" w:rsidRDefault="00F60B5F" w:rsidP="00DA21CE">
            <w:pPr>
              <w:pStyle w:val="Tabletext"/>
              <w:pageBreakBefore/>
              <w:ind w:left="187" w:hanging="187"/>
              <w:rPr>
                <w:rFonts w:eastAsiaTheme="minorEastAsia"/>
                <w:b/>
                <w:bCs/>
                <w:color w:val="000000"/>
                <w:lang w:eastAsia="en-AU"/>
              </w:rPr>
            </w:pPr>
          </w:p>
        </w:tc>
        <w:tc>
          <w:tcPr>
            <w:tcW w:w="994" w:type="dxa"/>
            <w:tcBorders>
              <w:top w:val="single" w:sz="12" w:space="0" w:color="auto"/>
              <w:left w:val="nil"/>
              <w:right w:val="nil"/>
            </w:tcBorders>
            <w:shd w:val="solid" w:color="FFFFFF" w:fill="auto"/>
          </w:tcPr>
          <w:p w:rsidR="00F60B5F" w:rsidRPr="00B056A7" w:rsidRDefault="00F60B5F" w:rsidP="00B056A7">
            <w:pPr>
              <w:pStyle w:val="TableofFigures"/>
              <w:rPr>
                <w:rFonts w:eastAsiaTheme="minorEastAsia"/>
                <w:b/>
                <w:bCs/>
                <w:color w:val="000000"/>
                <w:lang w:eastAsia="en-AU"/>
              </w:rPr>
            </w:pPr>
          </w:p>
        </w:tc>
        <w:tc>
          <w:tcPr>
            <w:tcW w:w="993" w:type="dxa"/>
            <w:tcBorders>
              <w:top w:val="single" w:sz="12" w:space="0" w:color="auto"/>
              <w:left w:val="nil"/>
              <w:right w:val="nil"/>
            </w:tcBorders>
            <w:shd w:val="solid" w:color="FFFFFF" w:fill="auto"/>
          </w:tcPr>
          <w:p w:rsidR="00F60B5F" w:rsidRPr="00B056A7" w:rsidRDefault="00F60B5F" w:rsidP="00B056A7">
            <w:pPr>
              <w:pStyle w:val="TableofFigures"/>
              <w:rPr>
                <w:rFonts w:eastAsiaTheme="minorEastAsia"/>
                <w:b/>
                <w:bCs/>
                <w:color w:val="000000"/>
                <w:lang w:eastAsia="en-AU"/>
              </w:rPr>
            </w:pPr>
          </w:p>
        </w:tc>
        <w:tc>
          <w:tcPr>
            <w:tcW w:w="993" w:type="dxa"/>
            <w:tcBorders>
              <w:top w:val="single" w:sz="12" w:space="0" w:color="auto"/>
              <w:left w:val="nil"/>
              <w:right w:val="nil"/>
            </w:tcBorders>
            <w:shd w:val="solid" w:color="FFFFFF" w:fill="auto"/>
          </w:tcPr>
          <w:p w:rsidR="00F60B5F" w:rsidRPr="00B056A7" w:rsidRDefault="00F60B5F" w:rsidP="00B056A7">
            <w:pPr>
              <w:pStyle w:val="TableofFigures"/>
              <w:rPr>
                <w:rFonts w:eastAsiaTheme="minorEastAsia"/>
                <w:b/>
                <w:bCs/>
                <w:color w:val="000000"/>
                <w:lang w:eastAsia="en-AU"/>
              </w:rPr>
            </w:pPr>
          </w:p>
        </w:tc>
        <w:tc>
          <w:tcPr>
            <w:tcW w:w="993" w:type="dxa"/>
            <w:tcBorders>
              <w:top w:val="single" w:sz="12" w:space="0" w:color="auto"/>
              <w:left w:val="nil"/>
              <w:right w:val="nil"/>
            </w:tcBorders>
            <w:shd w:val="solid" w:color="FFFFFF" w:fill="auto"/>
          </w:tcPr>
          <w:p w:rsidR="00F60B5F" w:rsidRPr="00B056A7" w:rsidRDefault="00F60B5F" w:rsidP="00B056A7">
            <w:pPr>
              <w:pStyle w:val="TableofFigures"/>
              <w:rPr>
                <w:rFonts w:eastAsiaTheme="minorEastAsia"/>
                <w:b/>
                <w:bCs/>
                <w:color w:val="000000"/>
                <w:lang w:eastAsia="en-AU"/>
              </w:rPr>
            </w:pPr>
          </w:p>
        </w:tc>
      </w:tr>
      <w:tr w:rsidR="00F60B5F" w:rsidRPr="00B056A7" w:rsidTr="00DA21CE">
        <w:tc>
          <w:tcPr>
            <w:tcW w:w="3803" w:type="dxa"/>
            <w:tcBorders>
              <w:left w:val="nil"/>
              <w:bottom w:val="nil"/>
              <w:right w:val="nil"/>
            </w:tcBorders>
          </w:tcPr>
          <w:p w:rsidR="00F60B5F" w:rsidRPr="00B056A7" w:rsidRDefault="00F60B5F" w:rsidP="00B056A7">
            <w:pPr>
              <w:pStyle w:val="Tabletext"/>
              <w:keepNext/>
              <w:ind w:left="187" w:hanging="187"/>
              <w:rPr>
                <w:rFonts w:eastAsiaTheme="minorEastAsia"/>
                <w:b/>
                <w:bCs/>
                <w:color w:val="000000"/>
                <w:vertAlign w:val="superscript"/>
                <w:lang w:eastAsia="en-AU"/>
              </w:rPr>
            </w:pPr>
            <w:r w:rsidRPr="00B056A7">
              <w:rPr>
                <w:rFonts w:eastAsiaTheme="minorEastAsia"/>
                <w:b/>
                <w:bCs/>
                <w:color w:val="000000"/>
                <w:lang w:eastAsia="en-AU"/>
              </w:rPr>
              <w:t xml:space="preserve">Interest rates </w:t>
            </w:r>
            <w:r w:rsidRPr="00B056A7">
              <w:rPr>
                <w:rFonts w:eastAsiaTheme="minorEastAsia"/>
                <w:b/>
                <w:bCs/>
                <w:color w:val="000000"/>
                <w:vertAlign w:val="superscript"/>
                <w:lang w:eastAsia="en-AU"/>
              </w:rPr>
              <w:t>(f)</w:t>
            </w:r>
          </w:p>
        </w:tc>
        <w:tc>
          <w:tcPr>
            <w:tcW w:w="994" w:type="dxa"/>
            <w:tcBorders>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left w:val="nil"/>
              <w:bottom w:val="nil"/>
              <w:right w:val="nil"/>
            </w:tcBorders>
          </w:tcPr>
          <w:p w:rsidR="00F60B5F" w:rsidRPr="00B056A7" w:rsidRDefault="00F60B5F" w:rsidP="00B056A7">
            <w:pPr>
              <w:pStyle w:val="TableofFigures"/>
              <w:rPr>
                <w:rFonts w:eastAsiaTheme="minorEastAsia"/>
                <w:color w:val="000000"/>
                <w:lang w:eastAsia="en-AU"/>
              </w:rPr>
            </w:pPr>
          </w:p>
        </w:tc>
        <w:tc>
          <w:tcPr>
            <w:tcW w:w="993" w:type="dxa"/>
            <w:tcBorders>
              <w:left w:val="nil"/>
              <w:bottom w:val="nil"/>
              <w:right w:val="nil"/>
            </w:tcBorders>
          </w:tcPr>
          <w:p w:rsidR="00F60B5F" w:rsidRPr="00B056A7" w:rsidRDefault="00F60B5F" w:rsidP="00B056A7">
            <w:pPr>
              <w:pStyle w:val="TableofFigures"/>
              <w:rPr>
                <w:rFonts w:eastAsiaTheme="minorEastAsia"/>
                <w:color w:val="000000"/>
                <w:lang w:eastAsia="en-AU"/>
              </w:rPr>
            </w:pP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Income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63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62</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59</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58</w:t>
            </w:r>
          </w:p>
        </w:tc>
      </w:tr>
      <w:tr w:rsidR="00F60B5F" w:rsidRPr="00B056A7" w:rsidTr="00DA21CE">
        <w:tc>
          <w:tcPr>
            <w:tcW w:w="3803"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Expenses from transactions</w:t>
            </w:r>
          </w:p>
        </w:tc>
        <w:tc>
          <w:tcPr>
            <w:tcW w:w="994"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6</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223</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258</w:t>
            </w:r>
          </w:p>
        </w:tc>
        <w:tc>
          <w:tcPr>
            <w:tcW w:w="993"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266</w:t>
            </w:r>
          </w:p>
        </w:tc>
      </w:tr>
      <w:tr w:rsidR="00F60B5F" w:rsidRPr="00B056A7" w:rsidTr="00DA21CE">
        <w:tc>
          <w:tcPr>
            <w:tcW w:w="3803"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994"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57</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(161)</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(199)</w:t>
            </w:r>
          </w:p>
        </w:tc>
        <w:tc>
          <w:tcPr>
            <w:tcW w:w="993" w:type="dxa"/>
            <w:tcBorders>
              <w:top w:val="single" w:sz="6" w:space="0" w:color="auto"/>
              <w:left w:val="nil"/>
              <w:bottom w:val="single" w:sz="12" w:space="0" w:color="auto"/>
              <w:right w:val="nil"/>
            </w:tcBorders>
            <w:shd w:val="solid" w:color="FFFFFF" w:fill="auto"/>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(209)</w:t>
            </w:r>
          </w:p>
        </w:tc>
      </w:tr>
    </w:tbl>
    <w:p w:rsidR="00F60B5F" w:rsidRDefault="00F60B5F" w:rsidP="00F76F05">
      <w:pPr>
        <w:pStyle w:val="Source"/>
      </w:pPr>
      <w:r>
        <w:t>Source: Department of Treasury and Finance</w:t>
      </w:r>
    </w:p>
    <w:p w:rsidR="00F60B5F" w:rsidRDefault="00F60B5F" w:rsidP="00F76F05">
      <w:pPr>
        <w:pStyle w:val="Notes"/>
      </w:pPr>
      <w:r>
        <w:t>Notes:</w:t>
      </w:r>
    </w:p>
    <w:p w:rsidR="00F60B5F" w:rsidRDefault="00F60B5F" w:rsidP="00F76F05">
      <w:pPr>
        <w:pStyle w:val="Notes"/>
      </w:pPr>
      <w:r>
        <w:t>(a)</w:t>
      </w:r>
      <w:r>
        <w:tab/>
        <w:t>A positive number for income from transactions denotes an increase in revenue. A positive number for expenses from transactions denotes an increase in expenses (and hence a reduction in the net result from transactions and net result). A positive number for other economic flows represents an increase in revenue. A positive number for the net result from transactions and net result denotes a higher surplus or lower deficit. Numbers may not balance due to rounding.</w:t>
      </w:r>
    </w:p>
    <w:p w:rsidR="00F60B5F" w:rsidRDefault="00F60B5F" w:rsidP="00F76F05">
      <w:pPr>
        <w:pStyle w:val="Notes"/>
      </w:pPr>
      <w:r>
        <w:t>(b)</w:t>
      </w:r>
      <w:r>
        <w:tab/>
        <w:t>The impact of a 1 per cent lower than expected outcome for an economic variable would, in most instances, simply be the opposite of the impact shown in the table.</w:t>
      </w:r>
    </w:p>
    <w:p w:rsidR="00F60B5F" w:rsidRDefault="00F60B5F" w:rsidP="00F76F05">
      <w:pPr>
        <w:pStyle w:val="Notes"/>
      </w:pPr>
      <w:r>
        <w:t>(c)</w:t>
      </w:r>
      <w:r>
        <w:tab/>
        <w:t>Only reasonably quantifiable impacts have been included in the analysis.</w:t>
      </w:r>
    </w:p>
    <w:p w:rsidR="00F60B5F" w:rsidRDefault="00F60B5F" w:rsidP="00F76F05">
      <w:pPr>
        <w:pStyle w:val="Notes"/>
      </w:pPr>
      <w:r>
        <w:t>(d)</w:t>
      </w:r>
      <w:r>
        <w:tab/>
        <w:t xml:space="preserve">Incorporates the impact of the departmental funding model arrangements. It is assumed that an increase in consumer prices within the budget year does not affect employee entitlements. </w:t>
      </w:r>
    </w:p>
    <w:p w:rsidR="00F60B5F" w:rsidRDefault="00F60B5F" w:rsidP="00F76F05">
      <w:pPr>
        <w:pStyle w:val="Notes"/>
      </w:pPr>
      <w:r>
        <w:t>(e)</w:t>
      </w:r>
      <w:r>
        <w:tab/>
        <w:t>Represents a 1 per cent increase in all government enterprise bargaining agreements.</w:t>
      </w:r>
    </w:p>
    <w:p w:rsidR="00F60B5F" w:rsidRDefault="00F60B5F" w:rsidP="00F76F05">
      <w:pPr>
        <w:pStyle w:val="Notes"/>
      </w:pPr>
      <w:r>
        <w:t>(f)</w:t>
      </w:r>
      <w:r>
        <w:tab/>
        <w:t>Assumes interest rates are 1 percentage point higher across the entire term structure, i.e. short and long</w:t>
      </w:r>
      <w:r>
        <w:noBreakHyphen/>
        <w:t>term rates, over the forward estimates period.</w:t>
      </w:r>
    </w:p>
    <w:p w:rsidR="00F60B5F" w:rsidRDefault="00F60B5F" w:rsidP="00F76F05">
      <w:pPr>
        <w:pStyle w:val="Heading2"/>
      </w:pPr>
      <w:r>
        <w:t>Sensitivity to economic growth</w:t>
      </w:r>
    </w:p>
    <w:p w:rsidR="00F60B5F" w:rsidRDefault="00F60B5F" w:rsidP="00F76F05">
      <w:r>
        <w:t>Higher than expected GSP is associated with higher household consumption, leading to higher goods and services tax (GST) grants revenue and own</w:t>
      </w:r>
      <w:r>
        <w:noBreakHyphen/>
        <w:t>sourced taxation revenue. This increases the net result from transactions.</w:t>
      </w:r>
    </w:p>
    <w:p w:rsidR="00F60B5F" w:rsidRDefault="00F60B5F" w:rsidP="00F76F05">
      <w:pPr>
        <w:pStyle w:val="Heading2"/>
      </w:pPr>
      <w:r>
        <w:t>Sensitivity to employment</w:t>
      </w:r>
    </w:p>
    <w:p w:rsidR="00F60B5F" w:rsidRDefault="00F60B5F" w:rsidP="00F76F05">
      <w:r>
        <w:t>Higher than expected employment results in additional payroll tax revenue and increases the net result from transactions.</w:t>
      </w:r>
    </w:p>
    <w:p w:rsidR="00F60B5F" w:rsidRDefault="00F60B5F" w:rsidP="00F76F05">
      <w:pPr>
        <w:pStyle w:val="Heading2"/>
      </w:pPr>
      <w:r>
        <w:t>Sensitivity to consumer prices</w:t>
      </w:r>
    </w:p>
    <w:p w:rsidR="00F60B5F" w:rsidRDefault="00F60B5F" w:rsidP="00F76F05">
      <w:r>
        <w:t>Higher consumer prices lead to higher Commonwealth</w:t>
      </w:r>
      <w:r>
        <w:noBreakHyphen/>
        <w:t>sourced revenue (due to indexation), and higher GST and own</w:t>
      </w:r>
      <w:r>
        <w:noBreakHyphen/>
        <w:t xml:space="preserve">sourced taxation revenue, as the values of tax bases rise in nominal terms. The higher revenue is partly offset by the higher cost of supplies and services and some increases in outlays on grants and transfers. </w:t>
      </w:r>
    </w:p>
    <w:p w:rsidR="00F60B5F" w:rsidRDefault="00F60B5F" w:rsidP="00F76F05">
      <w:r>
        <w:t>An increase in consumer prices also increases the superannuation expense in the remaining out years.</w:t>
      </w:r>
    </w:p>
    <w:p w:rsidR="00F60B5F" w:rsidRDefault="00F60B5F" w:rsidP="00F76F05">
      <w:r>
        <w:t>Reflecting the operation of departmental funding arrangements, the impact of the increase in expenses is limited to the extent that departments can fund it from increased revenue from specific purpose grants and sales of goods and services. Overall, there is a positive impact on the net result and the net result from transactions in the out years.</w:t>
      </w:r>
    </w:p>
    <w:p w:rsidR="00F60B5F" w:rsidRDefault="00F60B5F" w:rsidP="00F76F05">
      <w:pPr>
        <w:pStyle w:val="Heading2"/>
      </w:pPr>
      <w:r>
        <w:t>Sensitivity to average weekly earnings</w:t>
      </w:r>
    </w:p>
    <w:p w:rsidR="00F60B5F" w:rsidRDefault="00F60B5F" w:rsidP="00F76F05">
      <w:r>
        <w:t>A rise in the level of economy</w:t>
      </w:r>
      <w:r>
        <w:noBreakHyphen/>
        <w:t>wide wages results in higher payroll tax revenue, contributing to an increase in the net result from transactions. All government enterprise bargaining agreements are assumed to be unchanged over the projection period.</w:t>
      </w:r>
    </w:p>
    <w:p w:rsidR="00F60B5F" w:rsidRDefault="00F60B5F" w:rsidP="00F76F05">
      <w:pPr>
        <w:pStyle w:val="Heading2"/>
      </w:pPr>
      <w:r>
        <w:t>Sensitivity to enterprise bargaining agreements</w:t>
      </w:r>
    </w:p>
    <w:p w:rsidR="00F60B5F" w:rsidRDefault="00F60B5F" w:rsidP="00F76F05">
      <w:r>
        <w:t>In the short term, enterprise bargaining agreements are fixed. Enterprise bargaining agreements can pose a substantial risk to Victoria’s budget position in the longer term. If funded, an across the board increase in wages arising from an enterprise bargaining agreement, which exceeds the wages policy guideline rate, results in a decline in the net result from transactions.</w:t>
      </w:r>
    </w:p>
    <w:p w:rsidR="00F60B5F" w:rsidRDefault="00F60B5F" w:rsidP="00F76F05">
      <w:r>
        <w:t>Increased employee entitlements increases the value of the superannuation liability and flows through to a greater superannuation expense in the remaining out years.</w:t>
      </w:r>
    </w:p>
    <w:p w:rsidR="00F60B5F" w:rsidRDefault="00F60B5F" w:rsidP="00F76F05">
      <w:pPr>
        <w:pStyle w:val="Heading2"/>
      </w:pPr>
      <w:r>
        <w:t>Sensitivity to domestic and overseas share prices</w:t>
      </w:r>
    </w:p>
    <w:p w:rsidR="00F60B5F" w:rsidRDefault="00F60B5F" w:rsidP="00F76F05">
      <w:r>
        <w:t>A rise in share prices increases the net result of the State’s public financial corporations (PFCs). The associated impact would be an increase in the income tax equivalents (ITEs) of the Transport Accident Commission and Victorian WorkCover Authority. However, as there have been substantial decreases in share and other asset prices in recent years, accumulated carry forward tax losses mean there is little or no impact of share prices on ITEs paid until the losses have been fully used. There is no immediate impact on dividends payable to the State.</w:t>
      </w:r>
    </w:p>
    <w:p w:rsidR="00F60B5F" w:rsidRDefault="00F60B5F" w:rsidP="00F76F05">
      <w:r>
        <w:t>An increase in domestic and international share prices also reduces the value of the superannuation liability due to the associated increase in superannuation fund assets. This then reduces the superannuation interest expense beyond the budget year, thereby improving the net result from transactions in these years.</w:t>
      </w:r>
    </w:p>
    <w:p w:rsidR="00F60B5F" w:rsidRDefault="00F60B5F" w:rsidP="00F76F05">
      <w:pPr>
        <w:pStyle w:val="Heading2"/>
      </w:pPr>
      <w:r>
        <w:t>Sensitivity to property prices and volumes</w:t>
      </w:r>
    </w:p>
    <w:p w:rsidR="00F60B5F" w:rsidRDefault="00F60B5F" w:rsidP="00F76F05">
      <w:r>
        <w:t>Higher property prices have an immediate impact on the net result from transactions through increased collections of land transfer duty. At the same time, the value of the superannuation liability decreases, due to the increased value of property holdings in superannuation funds’ investment portfolios. In later years, higher property prices continue to raise land transfer duty and land tax revenues, while the previous reduction in superannuation liability reduces ongoing superannuation expenses. All of these increase the net result from transactions.</w:t>
      </w:r>
    </w:p>
    <w:p w:rsidR="00F60B5F" w:rsidRDefault="00F60B5F" w:rsidP="00F76F05">
      <w:r>
        <w:t>Higher property transaction volumes increases land transfer duty receipts, leading to a rise in the net result from transactions.</w:t>
      </w:r>
    </w:p>
    <w:p w:rsidR="00F60B5F" w:rsidRDefault="00F60B5F" w:rsidP="00F76F05">
      <w:pPr>
        <w:pStyle w:val="Heading2"/>
      </w:pPr>
      <w:r>
        <w:t>Sensitivity to interest rates</w:t>
      </w:r>
    </w:p>
    <w:p w:rsidR="00F60B5F" w:rsidRDefault="00F60B5F" w:rsidP="00F76F05">
      <w:r>
        <w:t>An increase in interest rates reduces the valuation of long</w:t>
      </w:r>
      <w:r>
        <w:noBreakHyphen/>
        <w:t>term insurance liabilities of PFCs and increases the net profits of these entities. As dividends of the insurance agencies are based on performance from insurance operations, which excludes the impact of discount rate movements, the increase will have little direct impact on dividends. As ITEs of the State’s insurance agencies are assessed on net profit, changes in interest rates will potentially impact general government ITEs. However, accumulated carry forward tax losses mean there is little or no impact on revenues through ITEs until those losses have been used.</w:t>
      </w:r>
    </w:p>
    <w:p w:rsidR="00F60B5F" w:rsidRDefault="00F60B5F" w:rsidP="00F76F05">
      <w:r>
        <w:t>Higher borrowing costs will result in reduced net profits of public non</w:t>
      </w:r>
      <w:r>
        <w:noBreakHyphen/>
        <w:t>financial corporations, lowering dividends and ITEs payable to the State. An increase in the borrowing costs of the general government sector will reduce the net result from transactions.</w:t>
      </w:r>
    </w:p>
    <w:p w:rsidR="00F60B5F" w:rsidRDefault="00F60B5F" w:rsidP="00F76F05">
      <w:r>
        <w:t>An increase in interest rates also increases the superannuation expense over the out years, thereby reducing the net result from transactions.</w:t>
      </w:r>
    </w:p>
    <w:p w:rsidR="00F60B5F" w:rsidRPr="006C00BC" w:rsidRDefault="00F60B5F" w:rsidP="00F76F05">
      <w:pPr>
        <w:pStyle w:val="Heading1"/>
      </w:pPr>
      <w:bookmarkStart w:id="72" w:name="_Toc374373979"/>
      <w:r>
        <w:t xml:space="preserve">Sensitivity to </w:t>
      </w:r>
      <w:r w:rsidRPr="006C00BC">
        <w:t>variations in the economic outlook</w:t>
      </w:r>
      <w:bookmarkEnd w:id="72"/>
    </w:p>
    <w:p w:rsidR="00F60B5F" w:rsidRDefault="00F60B5F" w:rsidP="00F76F05">
      <w:r>
        <w:t>The previous section considered the fiscal implications of independent variations in selected economic parameters. Typically, however, variations in economic parameters do not occur in isolation. For example, general economic conditions may differ from expectations, particularly in the event of an unanticipated economic or financial shock, causing most or all economic parameters to vary from forecasts.</w:t>
      </w:r>
    </w:p>
    <w:p w:rsidR="00F60B5F" w:rsidRDefault="00F60B5F" w:rsidP="00F76F05">
      <w:r>
        <w:t>This section considers two examples where general economic conditions varied significantly from expectations, resulting in the broad sweep of economic parameters being different from forecast. In the first example, in 2006</w:t>
      </w:r>
      <w:r>
        <w:noBreakHyphen/>
        <w:t>07, growth was significantly stronger than anticipated while in the second example, in 2008</w:t>
      </w:r>
      <w:r>
        <w:noBreakHyphen/>
        <w:t>09, the onset of the global financial crisis resulted in most economic and financial variables being lower than initially forecast.</w:t>
      </w:r>
    </w:p>
    <w:p w:rsidR="00F60B5F" w:rsidRDefault="00F60B5F" w:rsidP="00F76F05">
      <w:r>
        <w:t>The analysis confirms that the fiscal impact of variations in economic variables can be significantly greater than indicated by the sum of each variable’s individual impact. This highlights the point that the relationship between economic parameters and fiscal aggregates is complex and heavily influenced by the specific nature and characteristics of a given economic shock. Such shocks affect Victoria’s fiscal position to varying degrees, but given the composition of Victoria’s revenue base, property</w:t>
      </w:r>
      <w:r>
        <w:noBreakHyphen/>
        <w:t xml:space="preserve">related shocks are likely to have the largest impact on the fiscal situation. </w:t>
      </w:r>
    </w:p>
    <w:p w:rsidR="00F60B5F" w:rsidRDefault="00F60B5F" w:rsidP="00F76F05">
      <w:r>
        <w:t xml:space="preserve">The State’s fiscal position in any year is the product of economic trends and policy changes in that and previous years. Similarly, an economic shock in a year will affect fiscal outcomes in that and later years. </w:t>
      </w:r>
    </w:p>
    <w:p w:rsidR="00F60B5F" w:rsidRDefault="00F60B5F" w:rsidP="00F76F05">
      <w:r>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F60B5F" w:rsidRDefault="00F60B5F" w:rsidP="001F6EBF">
      <w:pPr>
        <w:pStyle w:val="Heading2"/>
      </w:pPr>
      <w:r>
        <w:t>2006</w:t>
      </w:r>
      <w:r>
        <w:noBreakHyphen/>
        <w:t xml:space="preserve">07 – </w:t>
      </w:r>
      <w:r w:rsidRPr="001F6EBF">
        <w:t>economic</w:t>
      </w:r>
      <w:r>
        <w:t xml:space="preserve"> growth exceeding expectations</w:t>
      </w:r>
    </w:p>
    <w:p w:rsidR="00F60B5F" w:rsidRDefault="00F60B5F" w:rsidP="00F76F05">
      <w:r>
        <w:t>Table D.2 presents a situation where economic growth was underestimated. It shows the largest forecast error in the macroeconomic variables was for employment. Real GSP was also underestimated, and there were relatively minor errors in the forecasting of prices and wages.</w:t>
      </w:r>
    </w:p>
    <w:p w:rsidR="00F60B5F" w:rsidRDefault="00F60B5F">
      <w:pPr>
        <w:spacing w:after="0"/>
        <w:rPr>
          <w:rFonts w:ascii="Calibri" w:hAnsi="Calibri"/>
          <w:b/>
        </w:rPr>
      </w:pPr>
      <w:r>
        <w:br w:type="page"/>
      </w:r>
    </w:p>
    <w:p w:rsidR="00F60B5F" w:rsidRDefault="00F60B5F" w:rsidP="001F6EBF">
      <w:pPr>
        <w:pStyle w:val="Tableheading"/>
      </w:pPr>
      <w:r>
        <w:t>Table D.2:</w:t>
      </w:r>
      <w:r>
        <w:tab/>
      </w:r>
      <w:r w:rsidRPr="001F6EBF">
        <w:t>Actual</w:t>
      </w:r>
      <w:r>
        <w:t xml:space="preserve"> deviations to key economic variables from 2006</w:t>
      </w:r>
      <w:r>
        <w:noBreakHyphen/>
        <w:t>07 budgeted levels</w:t>
      </w:r>
    </w:p>
    <w:p w:rsidR="00F60B5F" w:rsidRPr="00B056A7" w:rsidRDefault="00F60B5F" w:rsidP="00B056A7">
      <w:pPr>
        <w:pStyle w:val="million"/>
        <w:rPr>
          <w:rFonts w:ascii="Times New Roman" w:hAnsi="Times New Roman"/>
          <w:i w:val="0"/>
          <w:sz w:val="20"/>
          <w:szCs w:val="20"/>
          <w:lang w:eastAsia="en-AU"/>
        </w:rPr>
      </w:pPr>
      <w:r>
        <w:t>(per cent)</w:t>
      </w:r>
    </w:p>
    <w:tbl>
      <w:tblPr>
        <w:tblW w:w="7760" w:type="dxa"/>
        <w:tblInd w:w="28" w:type="dxa"/>
        <w:tblLayout w:type="fixed"/>
        <w:tblCellMar>
          <w:left w:w="43" w:type="dxa"/>
          <w:right w:w="43" w:type="dxa"/>
        </w:tblCellMar>
        <w:tblLook w:val="0000" w:firstRow="0" w:lastRow="0" w:firstColumn="0" w:lastColumn="0" w:noHBand="0" w:noVBand="0"/>
      </w:tblPr>
      <w:tblGrid>
        <w:gridCol w:w="4640"/>
        <w:gridCol w:w="1040"/>
        <w:gridCol w:w="1040"/>
        <w:gridCol w:w="1040"/>
      </w:tblGrid>
      <w:tr w:rsidR="00F60B5F" w:rsidRPr="00B056A7" w:rsidTr="00B056A7">
        <w:tc>
          <w:tcPr>
            <w:tcW w:w="4640" w:type="dxa"/>
            <w:tcBorders>
              <w:top w:val="single" w:sz="6" w:space="0" w:color="000000"/>
              <w:left w:val="single" w:sz="6" w:space="0" w:color="000000"/>
            </w:tcBorders>
            <w:shd w:val="clear" w:color="auto" w:fill="000000"/>
          </w:tcPr>
          <w:p w:rsidR="00F60B5F" w:rsidRPr="00B056A7" w:rsidRDefault="00F60B5F" w:rsidP="00B056A7">
            <w:pPr>
              <w:pStyle w:val="Tabletext"/>
              <w:rPr>
                <w:rFonts w:eastAsiaTheme="minorEastAsia"/>
                <w:lang w:eastAsia="en-AU"/>
              </w:rPr>
            </w:pPr>
            <w:r w:rsidRPr="00B056A7">
              <w:rPr>
                <w:rFonts w:eastAsiaTheme="minorEastAsia"/>
                <w:lang w:eastAsia="en-AU"/>
              </w:rPr>
              <w:t xml:space="preserve"> </w:t>
            </w:r>
          </w:p>
        </w:tc>
        <w:tc>
          <w:tcPr>
            <w:tcW w:w="1040" w:type="dxa"/>
            <w:tcBorders>
              <w:top w:val="single" w:sz="6" w:space="0" w:color="000000"/>
            </w:tcBorders>
            <w:shd w:val="clear" w:color="auto" w:fill="000000"/>
          </w:tcPr>
          <w:p w:rsidR="00F60B5F" w:rsidRPr="00B056A7" w:rsidRDefault="00F60B5F" w:rsidP="00B056A7">
            <w:pPr>
              <w:pStyle w:val="Tabletextheading"/>
              <w:rPr>
                <w:rFonts w:eastAsiaTheme="minorEastAsia"/>
                <w:color w:val="FFFFFF"/>
                <w:lang w:eastAsia="en-AU"/>
              </w:rPr>
            </w:pPr>
            <w:r w:rsidRPr="00B056A7">
              <w:rPr>
                <w:rFonts w:eastAsiaTheme="minorEastAsia"/>
                <w:color w:val="FFFFFF"/>
                <w:lang w:eastAsia="en-AU"/>
              </w:rPr>
              <w:t>2006</w:t>
            </w:r>
            <w:r>
              <w:rPr>
                <w:rFonts w:eastAsiaTheme="minorEastAsia"/>
                <w:color w:val="FFFFFF"/>
                <w:lang w:eastAsia="en-AU"/>
              </w:rPr>
              <w:noBreakHyphen/>
            </w:r>
            <w:r w:rsidRPr="00B056A7">
              <w:rPr>
                <w:rFonts w:eastAsiaTheme="minorEastAsia"/>
                <w:color w:val="FFFFFF"/>
                <w:lang w:eastAsia="en-AU"/>
              </w:rPr>
              <w:t>07</w:t>
            </w:r>
          </w:p>
        </w:tc>
        <w:tc>
          <w:tcPr>
            <w:tcW w:w="1040" w:type="dxa"/>
            <w:tcBorders>
              <w:top w:val="single" w:sz="6" w:space="0" w:color="000000"/>
            </w:tcBorders>
            <w:shd w:val="clear" w:color="auto" w:fill="000000"/>
          </w:tcPr>
          <w:p w:rsidR="00F60B5F" w:rsidRPr="00B056A7" w:rsidRDefault="00F60B5F" w:rsidP="00B056A7">
            <w:pPr>
              <w:pStyle w:val="Tabletextheading"/>
              <w:rPr>
                <w:rFonts w:eastAsiaTheme="minorEastAsia"/>
                <w:color w:val="FFFFFF"/>
                <w:lang w:eastAsia="en-AU"/>
              </w:rPr>
            </w:pPr>
            <w:r w:rsidRPr="00B056A7">
              <w:rPr>
                <w:rFonts w:eastAsiaTheme="minorEastAsia"/>
                <w:color w:val="FFFFFF"/>
                <w:lang w:eastAsia="en-AU"/>
              </w:rPr>
              <w:t>2006</w:t>
            </w:r>
            <w:r>
              <w:rPr>
                <w:rFonts w:eastAsiaTheme="minorEastAsia"/>
                <w:color w:val="FFFFFF"/>
                <w:lang w:eastAsia="en-AU"/>
              </w:rPr>
              <w:noBreakHyphen/>
            </w:r>
            <w:r w:rsidRPr="00B056A7">
              <w:rPr>
                <w:rFonts w:eastAsiaTheme="minorEastAsia"/>
                <w:color w:val="FFFFFF"/>
                <w:lang w:eastAsia="en-AU"/>
              </w:rPr>
              <w:t>07</w:t>
            </w:r>
          </w:p>
        </w:tc>
        <w:tc>
          <w:tcPr>
            <w:tcW w:w="1040" w:type="dxa"/>
            <w:tcBorders>
              <w:top w:val="single" w:sz="6" w:space="0" w:color="000000"/>
              <w:right w:val="single" w:sz="6" w:space="0" w:color="000000"/>
            </w:tcBorders>
            <w:shd w:val="clear" w:color="auto" w:fill="000000"/>
          </w:tcPr>
          <w:p w:rsidR="00F60B5F" w:rsidRPr="00B056A7" w:rsidRDefault="00F60B5F" w:rsidP="00B056A7">
            <w:pPr>
              <w:pStyle w:val="Tabletextheading"/>
              <w:rPr>
                <w:rFonts w:eastAsiaTheme="minorEastAsia"/>
                <w:color w:val="FFFFFF"/>
                <w:lang w:eastAsia="en-AU"/>
              </w:rPr>
            </w:pPr>
            <w:r w:rsidRPr="00B056A7">
              <w:rPr>
                <w:rFonts w:eastAsiaTheme="minorEastAsia"/>
                <w:color w:val="FFFFFF"/>
                <w:lang w:eastAsia="en-AU"/>
              </w:rPr>
              <w:t>Forecast</w:t>
            </w:r>
          </w:p>
        </w:tc>
      </w:tr>
      <w:tr w:rsidR="00F60B5F" w:rsidRPr="00B056A7" w:rsidTr="00B056A7">
        <w:tc>
          <w:tcPr>
            <w:tcW w:w="4640" w:type="dxa"/>
            <w:tcBorders>
              <w:left w:val="single" w:sz="6" w:space="0" w:color="000000"/>
              <w:bottom w:val="single" w:sz="6" w:space="0" w:color="000000"/>
            </w:tcBorders>
            <w:shd w:val="clear" w:color="auto" w:fill="000000"/>
          </w:tcPr>
          <w:p w:rsidR="00F60B5F" w:rsidRPr="00B056A7" w:rsidRDefault="00F60B5F" w:rsidP="00B056A7">
            <w:pPr>
              <w:pStyle w:val="Tabletext"/>
              <w:rPr>
                <w:rFonts w:eastAsiaTheme="minorEastAsia"/>
                <w:lang w:eastAsia="en-AU"/>
              </w:rPr>
            </w:pPr>
            <w:r w:rsidRPr="00B056A7">
              <w:rPr>
                <w:rFonts w:eastAsiaTheme="minorEastAsia"/>
                <w:lang w:eastAsia="en-AU"/>
              </w:rPr>
              <w:t xml:space="preserve"> </w:t>
            </w:r>
          </w:p>
        </w:tc>
        <w:tc>
          <w:tcPr>
            <w:tcW w:w="1040" w:type="dxa"/>
            <w:tcBorders>
              <w:bottom w:val="single" w:sz="6" w:space="0" w:color="000000"/>
            </w:tcBorders>
            <w:shd w:val="clear" w:color="auto" w:fill="000000"/>
          </w:tcPr>
          <w:p w:rsidR="00F60B5F" w:rsidRPr="00B056A7" w:rsidRDefault="00F60B5F" w:rsidP="00B056A7">
            <w:pPr>
              <w:pStyle w:val="Tabletextheading"/>
              <w:rPr>
                <w:rFonts w:eastAsiaTheme="minorEastAsia"/>
                <w:color w:val="FFFFFF"/>
                <w:vertAlign w:val="superscript"/>
                <w:lang w:eastAsia="en-AU"/>
              </w:rPr>
            </w:pPr>
            <w:r w:rsidRPr="00B056A7">
              <w:rPr>
                <w:rFonts w:eastAsiaTheme="minorEastAsia"/>
                <w:color w:val="FFFFFF"/>
                <w:lang w:eastAsia="en-AU"/>
              </w:rPr>
              <w:t xml:space="preserve">Budget </w:t>
            </w:r>
            <w:r w:rsidRPr="00B056A7">
              <w:rPr>
                <w:rFonts w:eastAsiaTheme="minorEastAsia"/>
                <w:color w:val="FFFFFF"/>
                <w:vertAlign w:val="superscript"/>
                <w:lang w:eastAsia="en-AU"/>
              </w:rPr>
              <w:t>(a)</w:t>
            </w:r>
          </w:p>
        </w:tc>
        <w:tc>
          <w:tcPr>
            <w:tcW w:w="1040" w:type="dxa"/>
            <w:tcBorders>
              <w:bottom w:val="single" w:sz="6" w:space="0" w:color="000000"/>
            </w:tcBorders>
            <w:shd w:val="clear" w:color="auto" w:fill="000000"/>
          </w:tcPr>
          <w:p w:rsidR="00F60B5F" w:rsidRPr="00B056A7" w:rsidRDefault="00F60B5F" w:rsidP="00B056A7">
            <w:pPr>
              <w:pStyle w:val="Tabletextheading"/>
              <w:rPr>
                <w:rFonts w:eastAsiaTheme="minorEastAsia"/>
                <w:color w:val="FFFFFF"/>
                <w:lang w:eastAsia="en-AU"/>
              </w:rPr>
            </w:pPr>
            <w:r w:rsidRPr="00B056A7">
              <w:rPr>
                <w:rFonts w:eastAsiaTheme="minorEastAsia"/>
                <w:color w:val="FFFFFF"/>
                <w:lang w:eastAsia="en-AU"/>
              </w:rPr>
              <w:t>Actual</w:t>
            </w:r>
          </w:p>
        </w:tc>
        <w:tc>
          <w:tcPr>
            <w:tcW w:w="1040" w:type="dxa"/>
            <w:tcBorders>
              <w:bottom w:val="single" w:sz="6" w:space="0" w:color="000000"/>
              <w:right w:val="single" w:sz="6" w:space="0" w:color="000000"/>
            </w:tcBorders>
            <w:shd w:val="clear" w:color="auto" w:fill="000000"/>
          </w:tcPr>
          <w:p w:rsidR="00F60B5F" w:rsidRPr="00B056A7" w:rsidRDefault="00F60B5F" w:rsidP="00B056A7">
            <w:pPr>
              <w:pStyle w:val="Tabletextheading"/>
              <w:rPr>
                <w:rFonts w:eastAsiaTheme="minorEastAsia"/>
                <w:color w:val="FFFFFF"/>
                <w:vertAlign w:val="superscript"/>
                <w:lang w:eastAsia="en-AU"/>
              </w:rPr>
            </w:pPr>
            <w:r w:rsidRPr="00B056A7">
              <w:rPr>
                <w:rFonts w:eastAsiaTheme="minorEastAsia"/>
                <w:color w:val="FFFFFF"/>
                <w:lang w:eastAsia="en-AU"/>
              </w:rPr>
              <w:t xml:space="preserve">error </w:t>
            </w:r>
            <w:r w:rsidRPr="00B056A7">
              <w:rPr>
                <w:rFonts w:eastAsiaTheme="minorEastAsia"/>
                <w:color w:val="FFFFFF"/>
                <w:vertAlign w:val="superscript"/>
                <w:lang w:eastAsia="en-AU"/>
              </w:rPr>
              <w:t>(b)</w:t>
            </w:r>
          </w:p>
        </w:tc>
      </w:tr>
      <w:tr w:rsidR="00F60B5F" w:rsidRPr="00B056A7" w:rsidTr="00B056A7">
        <w:tc>
          <w:tcPr>
            <w:tcW w:w="4640" w:type="dxa"/>
            <w:tcBorders>
              <w:top w:val="single" w:sz="6" w:space="0" w:color="000000"/>
              <w:left w:val="nil"/>
              <w:bottom w:val="nil"/>
              <w:right w:val="nil"/>
            </w:tcBorders>
          </w:tcPr>
          <w:p w:rsidR="00F60B5F" w:rsidRPr="00B056A7" w:rsidRDefault="00F60B5F" w:rsidP="00B056A7">
            <w:pPr>
              <w:pStyle w:val="Tabletext"/>
              <w:rPr>
                <w:rFonts w:eastAsiaTheme="minorEastAsia"/>
                <w:lang w:eastAsia="en-AU"/>
              </w:rPr>
            </w:pPr>
            <w:r w:rsidRPr="00B056A7">
              <w:rPr>
                <w:rFonts w:eastAsiaTheme="minorEastAsia"/>
                <w:lang w:eastAsia="en-AU"/>
              </w:rPr>
              <w:t>Real GSP</w:t>
            </w:r>
          </w:p>
        </w:tc>
        <w:tc>
          <w:tcPr>
            <w:tcW w:w="1040" w:type="dxa"/>
            <w:tcBorders>
              <w:top w:val="single" w:sz="6" w:space="0" w:color="000000"/>
              <w:left w:val="nil"/>
              <w:bottom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3.3</w:t>
            </w:r>
          </w:p>
        </w:tc>
        <w:tc>
          <w:tcPr>
            <w:tcW w:w="1040" w:type="dxa"/>
            <w:tcBorders>
              <w:top w:val="single" w:sz="6" w:space="0" w:color="000000"/>
              <w:left w:val="nil"/>
              <w:bottom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3.8</w:t>
            </w:r>
          </w:p>
        </w:tc>
        <w:tc>
          <w:tcPr>
            <w:tcW w:w="1040" w:type="dxa"/>
            <w:tcBorders>
              <w:top w:val="single" w:sz="6" w:space="0" w:color="000000"/>
              <w:left w:val="nil"/>
              <w:bottom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0.5</w:t>
            </w:r>
          </w:p>
        </w:tc>
      </w:tr>
      <w:tr w:rsidR="00F60B5F" w:rsidRPr="00B056A7" w:rsidTr="00B056A7">
        <w:tc>
          <w:tcPr>
            <w:tcW w:w="4640" w:type="dxa"/>
            <w:tcBorders>
              <w:top w:val="nil"/>
              <w:left w:val="nil"/>
              <w:bottom w:val="nil"/>
              <w:right w:val="nil"/>
            </w:tcBorders>
          </w:tcPr>
          <w:p w:rsidR="00F60B5F" w:rsidRPr="00B056A7" w:rsidRDefault="00F60B5F" w:rsidP="00B056A7">
            <w:pPr>
              <w:pStyle w:val="Tabletext"/>
              <w:rPr>
                <w:rFonts w:eastAsiaTheme="minorEastAsia"/>
                <w:lang w:eastAsia="en-AU"/>
              </w:rPr>
            </w:pPr>
            <w:r w:rsidRPr="00B056A7">
              <w:rPr>
                <w:rFonts w:eastAsiaTheme="minorEastAsia"/>
                <w:lang w:eastAsia="en-AU"/>
              </w:rPr>
              <w:t>Employment</w:t>
            </w:r>
          </w:p>
        </w:tc>
        <w:tc>
          <w:tcPr>
            <w:tcW w:w="1040"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1.3</w:t>
            </w:r>
          </w:p>
        </w:tc>
        <w:tc>
          <w:tcPr>
            <w:tcW w:w="1040"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3.2</w:t>
            </w:r>
          </w:p>
        </w:tc>
        <w:tc>
          <w:tcPr>
            <w:tcW w:w="1040"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2.0</w:t>
            </w:r>
          </w:p>
        </w:tc>
      </w:tr>
      <w:tr w:rsidR="00F60B5F" w:rsidRPr="00B056A7" w:rsidTr="00B056A7">
        <w:tc>
          <w:tcPr>
            <w:tcW w:w="4640" w:type="dxa"/>
            <w:tcBorders>
              <w:top w:val="nil"/>
              <w:left w:val="nil"/>
              <w:right w:val="nil"/>
            </w:tcBorders>
          </w:tcPr>
          <w:p w:rsidR="00F60B5F" w:rsidRPr="00B056A7" w:rsidRDefault="00F60B5F" w:rsidP="00B056A7">
            <w:pPr>
              <w:pStyle w:val="Tabletext"/>
              <w:rPr>
                <w:rFonts w:eastAsiaTheme="minorEastAsia"/>
                <w:lang w:eastAsia="en-AU"/>
              </w:rPr>
            </w:pPr>
            <w:r w:rsidRPr="00B056A7">
              <w:rPr>
                <w:rFonts w:eastAsiaTheme="minorEastAsia"/>
                <w:lang w:eastAsia="en-AU"/>
              </w:rPr>
              <w:t>Consumer price index</w:t>
            </w:r>
          </w:p>
        </w:tc>
        <w:tc>
          <w:tcPr>
            <w:tcW w:w="1040" w:type="dxa"/>
            <w:tcBorders>
              <w:top w:val="nil"/>
              <w:left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2.5</w:t>
            </w:r>
          </w:p>
        </w:tc>
        <w:tc>
          <w:tcPr>
            <w:tcW w:w="1040" w:type="dxa"/>
            <w:tcBorders>
              <w:top w:val="nil"/>
              <w:left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2.6</w:t>
            </w:r>
          </w:p>
        </w:tc>
        <w:tc>
          <w:tcPr>
            <w:tcW w:w="1040" w:type="dxa"/>
            <w:tcBorders>
              <w:top w:val="nil"/>
              <w:left w:val="nil"/>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0.1</w:t>
            </w:r>
          </w:p>
        </w:tc>
      </w:tr>
      <w:tr w:rsidR="00F60B5F" w:rsidRPr="00B056A7" w:rsidTr="00B056A7">
        <w:tc>
          <w:tcPr>
            <w:tcW w:w="4640" w:type="dxa"/>
            <w:tcBorders>
              <w:top w:val="nil"/>
              <w:left w:val="nil"/>
              <w:bottom w:val="single" w:sz="12" w:space="0" w:color="000000"/>
              <w:right w:val="nil"/>
            </w:tcBorders>
          </w:tcPr>
          <w:p w:rsidR="00F60B5F" w:rsidRPr="00B056A7" w:rsidRDefault="00F60B5F" w:rsidP="00B056A7">
            <w:pPr>
              <w:pStyle w:val="Tabletext"/>
              <w:rPr>
                <w:rFonts w:eastAsiaTheme="minorEastAsia"/>
                <w:vertAlign w:val="superscript"/>
                <w:lang w:eastAsia="en-AU"/>
              </w:rPr>
            </w:pPr>
            <w:r w:rsidRPr="00B056A7">
              <w:rPr>
                <w:rFonts w:eastAsiaTheme="minorEastAsia"/>
                <w:lang w:eastAsia="en-AU"/>
              </w:rPr>
              <w:t xml:space="preserve">Wage price index </w:t>
            </w:r>
            <w:r w:rsidRPr="00B056A7">
              <w:rPr>
                <w:rFonts w:eastAsiaTheme="minorEastAsia"/>
                <w:vertAlign w:val="superscript"/>
                <w:lang w:eastAsia="en-AU"/>
              </w:rPr>
              <w:t>(c)</w:t>
            </w:r>
          </w:p>
        </w:tc>
        <w:tc>
          <w:tcPr>
            <w:tcW w:w="1040" w:type="dxa"/>
            <w:tcBorders>
              <w:top w:val="nil"/>
              <w:left w:val="nil"/>
              <w:bottom w:val="single" w:sz="12" w:space="0" w:color="000000"/>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3.5</w:t>
            </w:r>
          </w:p>
        </w:tc>
        <w:tc>
          <w:tcPr>
            <w:tcW w:w="1040" w:type="dxa"/>
            <w:tcBorders>
              <w:top w:val="nil"/>
              <w:left w:val="nil"/>
              <w:bottom w:val="single" w:sz="12" w:space="0" w:color="000000"/>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3.6</w:t>
            </w:r>
          </w:p>
        </w:tc>
        <w:tc>
          <w:tcPr>
            <w:tcW w:w="1040" w:type="dxa"/>
            <w:tcBorders>
              <w:top w:val="nil"/>
              <w:left w:val="nil"/>
              <w:bottom w:val="single" w:sz="12" w:space="0" w:color="000000"/>
              <w:right w:val="nil"/>
            </w:tcBorders>
            <w:shd w:val="solid" w:color="FFFFFF" w:fill="auto"/>
          </w:tcPr>
          <w:p w:rsidR="00F60B5F" w:rsidRPr="00B056A7" w:rsidRDefault="00F60B5F" w:rsidP="00B056A7">
            <w:pPr>
              <w:pStyle w:val="TableofFigures"/>
              <w:rPr>
                <w:rFonts w:eastAsiaTheme="minorEastAsia"/>
                <w:lang w:eastAsia="en-AU"/>
              </w:rPr>
            </w:pPr>
            <w:r w:rsidRPr="00B056A7">
              <w:rPr>
                <w:rFonts w:eastAsiaTheme="minorEastAsia"/>
                <w:lang w:eastAsia="en-AU"/>
              </w:rPr>
              <w:t>0.1</w:t>
            </w:r>
          </w:p>
        </w:tc>
      </w:tr>
    </w:tbl>
    <w:p w:rsidR="00F60B5F" w:rsidRDefault="00F60B5F" w:rsidP="00EE5AEB">
      <w:pPr>
        <w:pStyle w:val="Source"/>
      </w:pPr>
      <w:r>
        <w:t>Source: Department of Treasury and Finance</w:t>
      </w:r>
    </w:p>
    <w:p w:rsidR="00F60B5F" w:rsidRDefault="00F60B5F" w:rsidP="00EE5AEB">
      <w:pPr>
        <w:pStyle w:val="Notes"/>
      </w:pPr>
      <w:r>
        <w:t>Notes:</w:t>
      </w:r>
    </w:p>
    <w:p w:rsidR="00F60B5F" w:rsidRDefault="00F60B5F" w:rsidP="00EE5AEB">
      <w:pPr>
        <w:pStyle w:val="Notes"/>
      </w:pPr>
      <w:r>
        <w:t>(a)</w:t>
      </w:r>
      <w:r>
        <w:tab/>
        <w:t xml:space="preserve">Forecast in May 2006 for </w:t>
      </w:r>
      <w:r w:rsidRPr="001F6EBF">
        <w:rPr>
          <w:i w:val="0"/>
        </w:rPr>
        <w:t>2006</w:t>
      </w:r>
      <w:r>
        <w:rPr>
          <w:i w:val="0"/>
        </w:rPr>
        <w:noBreakHyphen/>
      </w:r>
      <w:r w:rsidRPr="001F6EBF">
        <w:rPr>
          <w:i w:val="0"/>
        </w:rPr>
        <w:t>07 Budget</w:t>
      </w:r>
      <w:r>
        <w:t>.</w:t>
      </w:r>
    </w:p>
    <w:p w:rsidR="00F60B5F" w:rsidRDefault="00F60B5F" w:rsidP="00EE5AEB">
      <w:pPr>
        <w:pStyle w:val="Notes"/>
      </w:pPr>
      <w:r>
        <w:t>(b)</w:t>
      </w:r>
      <w:r>
        <w:tab/>
        <w:t>Percentage point variation.</w:t>
      </w:r>
    </w:p>
    <w:p w:rsidR="00F60B5F" w:rsidRDefault="00F60B5F" w:rsidP="00EE5AEB">
      <w:pPr>
        <w:pStyle w:val="Notes"/>
      </w:pPr>
      <w:r>
        <w:t>(c)</w:t>
      </w:r>
      <w:r>
        <w:tab/>
        <w:t>Total hourly rate excluding bonuses.</w:t>
      </w:r>
    </w:p>
    <w:p w:rsidR="00F60B5F" w:rsidRDefault="00F60B5F" w:rsidP="00EE5AEB">
      <w:pPr>
        <w:pStyle w:val="Notes"/>
      </w:pPr>
    </w:p>
    <w:p w:rsidR="00F60B5F" w:rsidRDefault="00F60B5F" w:rsidP="00EE5AEB">
      <w:r>
        <w:t>The main areas of revenue forecast error in 2006</w:t>
      </w:r>
      <w:r>
        <w:noBreakHyphen/>
        <w:t>07 relate to the underestimation of land transfer duty and of other revenue, while payroll tax was close to forecast (Table D.3). Strong land transfer duty revenues largely reflect the property cycle. As land transfer duty is a transaction</w:t>
      </w:r>
      <w:r>
        <w:noBreakHyphen/>
        <w:t>based tax, with the bulk of revenue collected from the residential property sector, collections are subject to the volatile nature of consumer sentiment. In 2006</w:t>
      </w:r>
      <w:r>
        <w:noBreakHyphen/>
        <w:t>07, both house prices and volumes were in growth phases, and in the second half of the financial year consumer sentiment was well above historical averages.</w:t>
      </w:r>
    </w:p>
    <w:p w:rsidR="00F60B5F" w:rsidRDefault="00F60B5F" w:rsidP="00EE5AEB">
      <w:r>
        <w:t>A significant portion of other revenue is composed of tied grants from the Commonwealth Government and largely comprises funding for health and education purposes. Forecasts are finalised around four months before the start of the relevant budget year and alternative arrangements may be made with the Commonwealth Government at any time during the ensuing 16 months to affect revenue from this source.</w:t>
      </w:r>
    </w:p>
    <w:p w:rsidR="00F60B5F" w:rsidRDefault="00F60B5F" w:rsidP="00EE5AEB">
      <w:r>
        <w:t>As payroll tax is levied on the stock of employees, forecast error in growth is unlikely to have a large effect on revenue from this line. This proved to be the case in 2006</w:t>
      </w:r>
      <w:r>
        <w:noBreakHyphen/>
        <w:t>07. Despite growth in employment being two percentage points higher than anticipated, the 2006</w:t>
      </w:r>
      <w:r>
        <w:noBreakHyphen/>
        <w:t>07 outcome for payroll tax was largely consistent with budgeted estimates. This highlights a disconnect between Victoria’s labour market performance and payroll tax collections, and may occur because payroll tax is levied on a small share of Victorian businesses, which may not necessarily be drivers of growth at the time.</w:t>
      </w:r>
    </w:p>
    <w:p w:rsidR="00F60B5F" w:rsidRDefault="00F60B5F">
      <w:pPr>
        <w:spacing w:after="0"/>
        <w:rPr>
          <w:rFonts w:ascii="Calibri" w:hAnsi="Calibri"/>
          <w:b/>
        </w:rPr>
      </w:pPr>
      <w:r>
        <w:br w:type="page"/>
      </w:r>
    </w:p>
    <w:p w:rsidR="00F60B5F" w:rsidRDefault="00F60B5F" w:rsidP="00EE5AEB">
      <w:pPr>
        <w:pStyle w:val="Tableheading"/>
      </w:pPr>
      <w:r>
        <w:t>Table D.3:</w:t>
      </w:r>
      <w:r>
        <w:tab/>
        <w:t>Actual deviations to key revenue lines from 2006</w:t>
      </w:r>
      <w:r>
        <w:noBreakHyphen/>
        <w:t>07 budgeted levels</w:t>
      </w:r>
    </w:p>
    <w:p w:rsidR="00F60B5F" w:rsidRPr="00B056A7" w:rsidRDefault="00F60B5F" w:rsidP="00B056A7">
      <w:pPr>
        <w:pStyle w:val="million"/>
        <w:rPr>
          <w:rFonts w:ascii="Times New Roman" w:hAnsi="Times New Roman"/>
          <w:i w:val="0"/>
          <w:sz w:val="20"/>
          <w:szCs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F60B5F" w:rsidRPr="00B056A7" w:rsidTr="00B056A7">
        <w:tc>
          <w:tcPr>
            <w:tcW w:w="4665" w:type="dxa"/>
            <w:tcBorders>
              <w:top w:val="single" w:sz="6" w:space="0" w:color="auto"/>
              <w:left w:val="single" w:sz="6" w:space="0" w:color="auto"/>
            </w:tcBorders>
            <w:shd w:val="clear" w:color="auto" w:fill="000000"/>
          </w:tcPr>
          <w:p w:rsidR="00F60B5F" w:rsidRPr="00B056A7" w:rsidRDefault="00F60B5F" w:rsidP="00B056A7">
            <w:pPr>
              <w:pStyle w:val="Tabletext"/>
              <w:rPr>
                <w:rFonts w:eastAsiaTheme="minorEastAsia"/>
                <w:lang w:eastAsia="en-AU"/>
              </w:rPr>
            </w:pPr>
          </w:p>
        </w:tc>
        <w:tc>
          <w:tcPr>
            <w:tcW w:w="1036" w:type="dxa"/>
            <w:tcBorders>
              <w:top w:val="single" w:sz="6"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2006</w:t>
            </w:r>
            <w:r>
              <w:rPr>
                <w:rFonts w:eastAsiaTheme="minorEastAsia"/>
                <w:lang w:eastAsia="en-AU"/>
              </w:rPr>
              <w:noBreakHyphen/>
            </w:r>
            <w:r w:rsidRPr="00B056A7">
              <w:rPr>
                <w:rFonts w:eastAsiaTheme="minorEastAsia"/>
                <w:lang w:eastAsia="en-AU"/>
              </w:rPr>
              <w:t>07</w:t>
            </w:r>
          </w:p>
        </w:tc>
        <w:tc>
          <w:tcPr>
            <w:tcW w:w="1036" w:type="dxa"/>
            <w:tcBorders>
              <w:top w:val="single" w:sz="6"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2006</w:t>
            </w:r>
            <w:r>
              <w:rPr>
                <w:rFonts w:eastAsiaTheme="minorEastAsia"/>
                <w:lang w:eastAsia="en-AU"/>
              </w:rPr>
              <w:noBreakHyphen/>
            </w:r>
            <w:r w:rsidRPr="00B056A7">
              <w:rPr>
                <w:rFonts w:eastAsiaTheme="minorEastAsia"/>
                <w:lang w:eastAsia="en-AU"/>
              </w:rPr>
              <w:t>07</w:t>
            </w:r>
          </w:p>
        </w:tc>
        <w:tc>
          <w:tcPr>
            <w:tcW w:w="1036" w:type="dxa"/>
            <w:tcBorders>
              <w:top w:val="single" w:sz="6" w:space="0" w:color="auto"/>
              <w:right w:val="single" w:sz="6"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Forecast</w:t>
            </w:r>
          </w:p>
        </w:tc>
      </w:tr>
      <w:tr w:rsidR="00F60B5F" w:rsidRPr="00B056A7" w:rsidTr="00B056A7">
        <w:tc>
          <w:tcPr>
            <w:tcW w:w="4665" w:type="dxa"/>
            <w:tcBorders>
              <w:top w:val="nil"/>
              <w:left w:val="single" w:sz="6" w:space="0" w:color="auto"/>
              <w:bottom w:val="single" w:sz="6" w:space="0" w:color="auto"/>
            </w:tcBorders>
            <w:shd w:val="clear" w:color="auto" w:fill="000000"/>
          </w:tcPr>
          <w:p w:rsidR="00F60B5F" w:rsidRPr="00B056A7" w:rsidRDefault="00F60B5F" w:rsidP="00B056A7">
            <w:pPr>
              <w:pStyle w:val="Tabletext"/>
              <w:rPr>
                <w:rFonts w:eastAsiaTheme="minorEastAsia"/>
                <w:lang w:eastAsia="en-AU"/>
              </w:rPr>
            </w:pPr>
          </w:p>
        </w:tc>
        <w:tc>
          <w:tcPr>
            <w:tcW w:w="1036" w:type="dxa"/>
            <w:tcBorders>
              <w:top w:val="nil"/>
              <w:bottom w:val="single" w:sz="6"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Budget</w:t>
            </w:r>
          </w:p>
        </w:tc>
        <w:tc>
          <w:tcPr>
            <w:tcW w:w="1036" w:type="dxa"/>
            <w:tcBorders>
              <w:top w:val="nil"/>
              <w:bottom w:val="single" w:sz="6"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Actual</w:t>
            </w:r>
          </w:p>
        </w:tc>
        <w:tc>
          <w:tcPr>
            <w:tcW w:w="1036" w:type="dxa"/>
            <w:tcBorders>
              <w:top w:val="nil"/>
              <w:bottom w:val="single" w:sz="6" w:space="0" w:color="auto"/>
              <w:right w:val="single" w:sz="6"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error</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Payroll taxes</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3 418</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3 479</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 xml:space="preserve"> 61</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Land transfer duty</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2 424</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2 961</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 xml:space="preserve"> 537</w:t>
            </w:r>
          </w:p>
        </w:tc>
      </w:tr>
      <w:tr w:rsidR="00F60B5F" w:rsidRPr="00B056A7" w:rsidTr="00B056A7">
        <w:tc>
          <w:tcPr>
            <w:tcW w:w="4665" w:type="dxa"/>
            <w:tcBorders>
              <w:top w:val="nil"/>
              <w:left w:val="nil"/>
              <w:bottom w:val="single" w:sz="6" w:space="0" w:color="auto"/>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Other own</w:t>
            </w:r>
            <w:r>
              <w:rPr>
                <w:rFonts w:eastAsiaTheme="minorEastAsia"/>
                <w:color w:val="000000"/>
                <w:lang w:eastAsia="en-AU"/>
              </w:rPr>
              <w:noBreakHyphen/>
            </w:r>
            <w:r w:rsidRPr="00B056A7">
              <w:rPr>
                <w:rFonts w:eastAsiaTheme="minorEastAsia"/>
                <w:color w:val="000000"/>
                <w:lang w:eastAsia="en-AU"/>
              </w:rPr>
              <w:t>sourced revenue</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5 129</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5 262</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 xml:space="preserve"> 133</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Taxation revenue</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10 971</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11 702</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 xml:space="preserve"> 731</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Other revenue</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13 002</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14 600</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1 598</w:t>
            </w:r>
          </w:p>
        </w:tc>
      </w:tr>
      <w:tr w:rsidR="00F60B5F" w:rsidRPr="00B056A7" w:rsidTr="00B056A7">
        <w:tc>
          <w:tcPr>
            <w:tcW w:w="4665" w:type="dxa"/>
            <w:tcBorders>
              <w:top w:val="nil"/>
              <w:left w:val="nil"/>
              <w:bottom w:val="single" w:sz="6" w:space="0" w:color="auto"/>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GST</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8 469</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8 584</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 xml:space="preserve"> 114</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Total revenue</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32 442</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34 886</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2 444</w:t>
            </w:r>
          </w:p>
        </w:tc>
      </w:tr>
      <w:tr w:rsidR="00F60B5F" w:rsidRPr="00B056A7" w:rsidTr="00B056A7">
        <w:tc>
          <w:tcPr>
            <w:tcW w:w="4665" w:type="dxa"/>
            <w:tcBorders>
              <w:top w:val="nil"/>
              <w:left w:val="nil"/>
              <w:bottom w:val="single" w:sz="6"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Total expenses</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32 125</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33 551</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1 426</w:t>
            </w:r>
          </w:p>
        </w:tc>
      </w:tr>
      <w:tr w:rsidR="00F60B5F" w:rsidRPr="00B056A7" w:rsidTr="00B056A7">
        <w:tc>
          <w:tcPr>
            <w:tcW w:w="4665"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1036" w:type="dxa"/>
            <w:tcBorders>
              <w:top w:val="nil"/>
              <w:left w:val="nil"/>
              <w:bottom w:val="single" w:sz="12"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 xml:space="preserve"> 317</w:t>
            </w:r>
          </w:p>
        </w:tc>
        <w:tc>
          <w:tcPr>
            <w:tcW w:w="1036" w:type="dxa"/>
            <w:tcBorders>
              <w:top w:val="nil"/>
              <w:left w:val="nil"/>
              <w:bottom w:val="single" w:sz="12"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1 335</w:t>
            </w:r>
          </w:p>
        </w:tc>
        <w:tc>
          <w:tcPr>
            <w:tcW w:w="1036" w:type="dxa"/>
            <w:tcBorders>
              <w:top w:val="nil"/>
              <w:left w:val="nil"/>
              <w:bottom w:val="single" w:sz="12"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1 018</w:t>
            </w:r>
          </w:p>
        </w:tc>
      </w:tr>
    </w:tbl>
    <w:p w:rsidR="00F60B5F" w:rsidRDefault="00F60B5F" w:rsidP="00DA21CE">
      <w:pPr>
        <w:pStyle w:val="Notes"/>
      </w:pPr>
      <w:r>
        <w:t>Source: Department of Treasury and Finance</w:t>
      </w:r>
    </w:p>
    <w:p w:rsidR="00F60B5F" w:rsidRPr="00DA21CE" w:rsidRDefault="00F60B5F" w:rsidP="00DA21CE">
      <w:pPr>
        <w:pStyle w:val="Notes"/>
      </w:pPr>
    </w:p>
    <w:p w:rsidR="00F60B5F" w:rsidRDefault="00F60B5F" w:rsidP="00EE5AEB">
      <w:pPr>
        <w:pStyle w:val="Heading2"/>
      </w:pPr>
      <w:r>
        <w:t>2008</w:t>
      </w:r>
      <w:r>
        <w:noBreakHyphen/>
        <w:t>09 – global financial crisis</w:t>
      </w:r>
    </w:p>
    <w:p w:rsidR="00F60B5F" w:rsidRDefault="00F60B5F" w:rsidP="00EE5AEB">
      <w:r>
        <w:t>A situation where economic growth was overestimated is shown in Table D.4. The largest forecast errors occurred in real GSP and consumption. Relatively small errors occurred in employment as employers chose to reduce hours and accept productivity falls rather than lay off staff. Consumer prices and wages were less affected by the global financial crisis and consequently the level of forecast error was much lower for these variables.</w:t>
      </w:r>
    </w:p>
    <w:p w:rsidR="00F60B5F" w:rsidRDefault="00F60B5F" w:rsidP="00EE5AEB">
      <w:pPr>
        <w:pStyle w:val="Tableheading"/>
      </w:pPr>
      <w:r>
        <w:t>Table D.4:</w:t>
      </w:r>
      <w:r>
        <w:tab/>
        <w:t>Actual deviations to key economic variables from 2008</w:t>
      </w:r>
      <w:r>
        <w:noBreakHyphen/>
        <w:t>09 budgeted levels</w:t>
      </w:r>
    </w:p>
    <w:p w:rsidR="00F60B5F" w:rsidRPr="00B056A7" w:rsidRDefault="00F60B5F" w:rsidP="00B056A7">
      <w:pPr>
        <w:pStyle w:val="million"/>
        <w:rPr>
          <w:rFonts w:ascii="Times New Roman" w:hAnsi="Times New Roman"/>
          <w:i w:val="0"/>
          <w:sz w:val="20"/>
          <w:szCs w:val="20"/>
          <w:lang w:eastAsia="en-AU"/>
        </w:rPr>
      </w:pPr>
      <w:r>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F60B5F" w:rsidRPr="00B056A7" w:rsidTr="00B056A7">
        <w:tc>
          <w:tcPr>
            <w:tcW w:w="4665" w:type="dxa"/>
            <w:tcBorders>
              <w:top w:val="single" w:sz="12" w:space="0" w:color="auto"/>
              <w:left w:val="single" w:sz="12" w:space="0" w:color="auto"/>
            </w:tcBorders>
            <w:shd w:val="clear" w:color="auto" w:fill="000000"/>
          </w:tcPr>
          <w:p w:rsidR="00F60B5F" w:rsidRPr="00B056A7" w:rsidRDefault="00F60B5F" w:rsidP="00B056A7">
            <w:pPr>
              <w:pStyle w:val="Tabletext"/>
              <w:rPr>
                <w:rFonts w:eastAsiaTheme="minorEastAsia"/>
                <w:lang w:eastAsia="en-AU"/>
              </w:rPr>
            </w:pPr>
            <w:r w:rsidRPr="00B056A7">
              <w:rPr>
                <w:rFonts w:eastAsiaTheme="minorEastAsia"/>
                <w:lang w:eastAsia="en-AU"/>
              </w:rPr>
              <w:t xml:space="preserve"> </w:t>
            </w:r>
          </w:p>
        </w:tc>
        <w:tc>
          <w:tcPr>
            <w:tcW w:w="1036" w:type="dxa"/>
            <w:tcBorders>
              <w:top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2008</w:t>
            </w:r>
            <w:r>
              <w:rPr>
                <w:rFonts w:eastAsiaTheme="minorEastAsia"/>
                <w:lang w:eastAsia="en-AU"/>
              </w:rPr>
              <w:noBreakHyphen/>
            </w:r>
            <w:r w:rsidRPr="00B056A7">
              <w:rPr>
                <w:rFonts w:eastAsiaTheme="minorEastAsia"/>
                <w:lang w:eastAsia="en-AU"/>
              </w:rPr>
              <w:t>09</w:t>
            </w:r>
          </w:p>
        </w:tc>
        <w:tc>
          <w:tcPr>
            <w:tcW w:w="1036" w:type="dxa"/>
            <w:tcBorders>
              <w:top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2008</w:t>
            </w:r>
            <w:r>
              <w:rPr>
                <w:rFonts w:eastAsiaTheme="minorEastAsia"/>
                <w:lang w:eastAsia="en-AU"/>
              </w:rPr>
              <w:noBreakHyphen/>
            </w:r>
            <w:r w:rsidRPr="00B056A7">
              <w:rPr>
                <w:rFonts w:eastAsiaTheme="minorEastAsia"/>
                <w:lang w:eastAsia="en-AU"/>
              </w:rPr>
              <w:t>09</w:t>
            </w:r>
          </w:p>
        </w:tc>
        <w:tc>
          <w:tcPr>
            <w:tcW w:w="1036" w:type="dxa"/>
            <w:tcBorders>
              <w:top w:val="single" w:sz="12" w:space="0" w:color="auto"/>
              <w:right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Forecast</w:t>
            </w:r>
          </w:p>
        </w:tc>
      </w:tr>
      <w:tr w:rsidR="00F60B5F" w:rsidRPr="00B056A7" w:rsidTr="00B056A7">
        <w:tc>
          <w:tcPr>
            <w:tcW w:w="4665" w:type="dxa"/>
            <w:tcBorders>
              <w:left w:val="single" w:sz="12" w:space="0" w:color="auto"/>
              <w:bottom w:val="single" w:sz="12" w:space="0" w:color="auto"/>
            </w:tcBorders>
            <w:shd w:val="clear" w:color="auto" w:fill="000000"/>
          </w:tcPr>
          <w:p w:rsidR="00F60B5F" w:rsidRPr="00B056A7" w:rsidRDefault="00F60B5F" w:rsidP="00B056A7">
            <w:pPr>
              <w:pStyle w:val="Tabletext"/>
              <w:rPr>
                <w:rFonts w:eastAsiaTheme="minorEastAsia"/>
                <w:lang w:eastAsia="en-AU"/>
              </w:rPr>
            </w:pPr>
            <w:r w:rsidRPr="00B056A7">
              <w:rPr>
                <w:rFonts w:eastAsiaTheme="minorEastAsia"/>
                <w:lang w:eastAsia="en-AU"/>
              </w:rPr>
              <w:t xml:space="preserve"> </w:t>
            </w:r>
          </w:p>
        </w:tc>
        <w:tc>
          <w:tcPr>
            <w:tcW w:w="1036" w:type="dxa"/>
            <w:tcBorders>
              <w:bottom w:val="single" w:sz="12" w:space="0" w:color="auto"/>
            </w:tcBorders>
            <w:shd w:val="clear" w:color="auto" w:fill="000000"/>
          </w:tcPr>
          <w:p w:rsidR="00F60B5F" w:rsidRPr="00B056A7" w:rsidRDefault="00F60B5F" w:rsidP="00B056A7">
            <w:pPr>
              <w:pStyle w:val="Tabletextheading"/>
              <w:rPr>
                <w:rFonts w:eastAsiaTheme="minorEastAsia"/>
                <w:vertAlign w:val="superscript"/>
                <w:lang w:eastAsia="en-AU"/>
              </w:rPr>
            </w:pPr>
            <w:r w:rsidRPr="00B056A7">
              <w:rPr>
                <w:rFonts w:eastAsiaTheme="minorEastAsia"/>
                <w:lang w:eastAsia="en-AU"/>
              </w:rPr>
              <w:t xml:space="preserve">Budget </w:t>
            </w:r>
            <w:r w:rsidRPr="00B056A7">
              <w:rPr>
                <w:rFonts w:eastAsiaTheme="minorEastAsia"/>
                <w:vertAlign w:val="superscript"/>
                <w:lang w:eastAsia="en-AU"/>
              </w:rPr>
              <w:t>(a)</w:t>
            </w:r>
          </w:p>
        </w:tc>
        <w:tc>
          <w:tcPr>
            <w:tcW w:w="1036" w:type="dxa"/>
            <w:tcBorders>
              <w:bottom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Actual</w:t>
            </w:r>
          </w:p>
        </w:tc>
        <w:tc>
          <w:tcPr>
            <w:tcW w:w="1036" w:type="dxa"/>
            <w:tcBorders>
              <w:bottom w:val="single" w:sz="12" w:space="0" w:color="auto"/>
              <w:right w:val="single" w:sz="12" w:space="0" w:color="auto"/>
            </w:tcBorders>
            <w:shd w:val="clear" w:color="auto" w:fill="000000"/>
          </w:tcPr>
          <w:p w:rsidR="00F60B5F" w:rsidRPr="00B056A7" w:rsidRDefault="00F60B5F" w:rsidP="00B056A7">
            <w:pPr>
              <w:pStyle w:val="Tabletextheading"/>
              <w:rPr>
                <w:rFonts w:eastAsiaTheme="minorEastAsia"/>
                <w:vertAlign w:val="superscript"/>
                <w:lang w:eastAsia="en-AU"/>
              </w:rPr>
            </w:pPr>
            <w:r w:rsidRPr="00B056A7">
              <w:rPr>
                <w:rFonts w:eastAsiaTheme="minorEastAsia"/>
                <w:lang w:eastAsia="en-AU"/>
              </w:rPr>
              <w:t xml:space="preserve">error </w:t>
            </w:r>
            <w:r w:rsidRPr="00B056A7">
              <w:rPr>
                <w:rFonts w:eastAsiaTheme="minorEastAsia"/>
                <w:vertAlign w:val="superscript"/>
                <w:lang w:eastAsia="en-AU"/>
              </w:rPr>
              <w:t>(b)</w:t>
            </w:r>
          </w:p>
        </w:tc>
      </w:tr>
      <w:tr w:rsidR="00F60B5F" w:rsidRPr="00B056A7" w:rsidTr="00B056A7">
        <w:tc>
          <w:tcPr>
            <w:tcW w:w="4665" w:type="dxa"/>
            <w:tcBorders>
              <w:top w:val="single" w:sz="12" w:space="0" w:color="auto"/>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Real GSP</w:t>
            </w:r>
          </w:p>
        </w:tc>
        <w:tc>
          <w:tcPr>
            <w:tcW w:w="1036" w:type="dxa"/>
            <w:tcBorders>
              <w:top w:val="single" w:sz="12" w:space="0" w:color="auto"/>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3.0</w:t>
            </w:r>
          </w:p>
        </w:tc>
        <w:tc>
          <w:tcPr>
            <w:tcW w:w="1036" w:type="dxa"/>
            <w:tcBorders>
              <w:top w:val="single" w:sz="12" w:space="0" w:color="auto"/>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1.1</w:t>
            </w:r>
          </w:p>
        </w:tc>
        <w:tc>
          <w:tcPr>
            <w:tcW w:w="1036" w:type="dxa"/>
            <w:tcBorders>
              <w:top w:val="single" w:sz="12" w:space="0" w:color="auto"/>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(1.9)</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Consumption (unpublished)</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2.8</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0.2</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(2.6)</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Employment</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1.5</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0.9</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(0.6)</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Consumer price index</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3.0</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2.8</w:t>
            </w:r>
          </w:p>
        </w:tc>
        <w:tc>
          <w:tcPr>
            <w:tcW w:w="1036" w:type="dxa"/>
            <w:tcBorders>
              <w:top w:val="nil"/>
              <w:left w:val="nil"/>
              <w:bottom w:val="nil"/>
              <w:right w:val="nil"/>
            </w:tcBorders>
            <w:shd w:val="solid" w:color="FFFFFF" w:fill="auto"/>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(0.2)</w:t>
            </w:r>
          </w:p>
        </w:tc>
      </w:tr>
      <w:tr w:rsidR="00F60B5F" w:rsidRPr="00B056A7" w:rsidTr="00B056A7">
        <w:tc>
          <w:tcPr>
            <w:tcW w:w="4665" w:type="dxa"/>
            <w:tcBorders>
              <w:top w:val="nil"/>
              <w:left w:val="nil"/>
              <w:bottom w:val="single" w:sz="12" w:space="0" w:color="auto"/>
              <w:right w:val="nil"/>
            </w:tcBorders>
          </w:tcPr>
          <w:p w:rsidR="00F60B5F" w:rsidRPr="00B056A7" w:rsidRDefault="00F60B5F" w:rsidP="00B056A7">
            <w:pPr>
              <w:pStyle w:val="Tabletext"/>
              <w:rPr>
                <w:rFonts w:eastAsiaTheme="minorEastAsia"/>
                <w:color w:val="000000"/>
                <w:vertAlign w:val="superscript"/>
                <w:lang w:eastAsia="en-AU"/>
              </w:rPr>
            </w:pPr>
            <w:r w:rsidRPr="00B056A7">
              <w:rPr>
                <w:rFonts w:eastAsiaTheme="minorEastAsia"/>
                <w:color w:val="000000"/>
                <w:lang w:eastAsia="en-AU"/>
              </w:rPr>
              <w:t xml:space="preserve">Wage price index </w:t>
            </w:r>
            <w:r w:rsidRPr="00B056A7">
              <w:rPr>
                <w:rFonts w:eastAsiaTheme="minorEastAsia"/>
                <w:color w:val="000000"/>
                <w:vertAlign w:val="superscript"/>
                <w:lang w:eastAsia="en-AU"/>
              </w:rPr>
              <w:t>(c)</w:t>
            </w:r>
          </w:p>
        </w:tc>
        <w:tc>
          <w:tcPr>
            <w:tcW w:w="1036" w:type="dxa"/>
            <w:tcBorders>
              <w:top w:val="nil"/>
              <w:left w:val="nil"/>
              <w:bottom w:val="single" w:sz="12" w:space="0" w:color="auto"/>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3.8</w:t>
            </w:r>
          </w:p>
        </w:tc>
        <w:tc>
          <w:tcPr>
            <w:tcW w:w="1036" w:type="dxa"/>
            <w:tcBorders>
              <w:top w:val="nil"/>
              <w:left w:val="nil"/>
              <w:bottom w:val="single" w:sz="12" w:space="0" w:color="auto"/>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4.0</w:t>
            </w:r>
          </w:p>
        </w:tc>
        <w:tc>
          <w:tcPr>
            <w:tcW w:w="1036" w:type="dxa"/>
            <w:tcBorders>
              <w:top w:val="nil"/>
              <w:left w:val="nil"/>
              <w:bottom w:val="single" w:sz="12" w:space="0" w:color="auto"/>
              <w:right w:val="nil"/>
            </w:tcBorders>
            <w:shd w:val="solid" w:color="FFFFFF" w:fill="auto"/>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0.3</w:t>
            </w:r>
          </w:p>
        </w:tc>
      </w:tr>
    </w:tbl>
    <w:p w:rsidR="00F60B5F" w:rsidRDefault="00F60B5F" w:rsidP="00EE5AEB">
      <w:pPr>
        <w:pStyle w:val="Source"/>
      </w:pPr>
      <w:r>
        <w:t>Source: Department of Treasury and Finance</w:t>
      </w:r>
    </w:p>
    <w:p w:rsidR="00F60B5F" w:rsidRDefault="00F60B5F" w:rsidP="00EE5AEB">
      <w:pPr>
        <w:pStyle w:val="Notes"/>
      </w:pPr>
      <w:r>
        <w:t>Notes:</w:t>
      </w:r>
    </w:p>
    <w:p w:rsidR="00F60B5F" w:rsidRDefault="00F60B5F" w:rsidP="00EE5AEB">
      <w:pPr>
        <w:pStyle w:val="Notes"/>
      </w:pPr>
      <w:r>
        <w:t>(a)</w:t>
      </w:r>
      <w:r>
        <w:tab/>
        <w:t xml:space="preserve">Forecast in May 2008 for </w:t>
      </w:r>
      <w:r w:rsidRPr="001F6EBF">
        <w:rPr>
          <w:i w:val="0"/>
        </w:rPr>
        <w:t>2008</w:t>
      </w:r>
      <w:r>
        <w:rPr>
          <w:i w:val="0"/>
        </w:rPr>
        <w:noBreakHyphen/>
      </w:r>
      <w:r w:rsidRPr="001F6EBF">
        <w:rPr>
          <w:i w:val="0"/>
        </w:rPr>
        <w:t>09 Budget</w:t>
      </w:r>
      <w:r>
        <w:t>.</w:t>
      </w:r>
    </w:p>
    <w:p w:rsidR="00F60B5F" w:rsidRDefault="00F60B5F" w:rsidP="00EE5AEB">
      <w:pPr>
        <w:pStyle w:val="Notes"/>
      </w:pPr>
      <w:r>
        <w:t>(b)</w:t>
      </w:r>
      <w:r>
        <w:tab/>
        <w:t>Percentage point variation.</w:t>
      </w:r>
    </w:p>
    <w:p w:rsidR="00F60B5F" w:rsidRDefault="00F60B5F" w:rsidP="00EE5AEB">
      <w:pPr>
        <w:pStyle w:val="Notes"/>
      </w:pPr>
      <w:r>
        <w:t>(c)</w:t>
      </w:r>
      <w:r>
        <w:tab/>
        <w:t>Total hourly rate excluding bonuses.</w:t>
      </w:r>
    </w:p>
    <w:p w:rsidR="00F60B5F" w:rsidRDefault="00F60B5F" w:rsidP="00EE5AEB">
      <w:pPr>
        <w:pStyle w:val="Notes"/>
      </w:pPr>
    </w:p>
    <w:p w:rsidR="00F60B5F" w:rsidRDefault="00F60B5F" w:rsidP="00EE5AEB">
      <w:r>
        <w:t xml:space="preserve">The impact of the global financial crisis on revenue is evident in Table D.5, which shows forecast revenue and expenditure compared to the actual outcome. Both revenue and expenditure were underestimated. However, expenditure was underestimated to a greater extent leading to a forecasting error of $576 million in the net result from transactions. </w:t>
      </w:r>
    </w:p>
    <w:p w:rsidR="00F60B5F" w:rsidRDefault="00F60B5F" w:rsidP="00EE5AEB">
      <w:r>
        <w:t xml:space="preserve">This increase in expenditure largely reflects the Commonwealth Government’s fiscal stimulus packages, such as </w:t>
      </w:r>
      <w:r w:rsidRPr="008A76A7">
        <w:rPr>
          <w:i/>
        </w:rPr>
        <w:t>Building the Education Revolution</w:t>
      </w:r>
      <w:r>
        <w:t>, which was mostly distributed by the states.</w:t>
      </w:r>
    </w:p>
    <w:p w:rsidR="00F60B5F" w:rsidRDefault="00F60B5F" w:rsidP="00EE5AEB">
      <w:r>
        <w:t>Much of the overestimate in revenue can be attributed to the weak performance of the property market, with land transfer duty forecasts being over $900 million higher than the actual outcome. By contrast, the error in the forecast of revenue from employment taxes (payroll tax) was small and partly reflects the response of employers to hoard labour.</w:t>
      </w:r>
    </w:p>
    <w:p w:rsidR="00F60B5F" w:rsidRDefault="00F60B5F" w:rsidP="00EE5AEB">
      <w:r>
        <w:t>The pervading weak consumer sentiment during the global financial crisis led to much weaker consumption growth, and consequently to a sizable forecast error for GST revenue. The global financial crisis seems to have created a structural shift in the economy, with the impacts felt over a number of years. Households adjusted their behaviour and entered a phase of reducing debt. This hastened the return of the household savings ratio to long</w:t>
      </w:r>
      <w:r>
        <w:noBreakHyphen/>
        <w:t xml:space="preserve">term averages, following a sustained period of near zero savings. </w:t>
      </w:r>
    </w:p>
    <w:p w:rsidR="00F60B5F" w:rsidRDefault="00F60B5F" w:rsidP="00EE5AEB">
      <w:r>
        <w:t>The overestimation of land transfer duty and GST was dwarfed by underestimation of other revenues. A large share of this was the increased Commonwealth Government disbursements to the states as part of the stimulus package. However, these revenues were matched by increased expenditure as the Commonwealth Government’s stimulus payments were spent. Of the $3.2 billion forecast error for other revenues, approximately $2.1 billion is attributable to grants revenue other than GST.</w:t>
      </w:r>
    </w:p>
    <w:p w:rsidR="00F60B5F" w:rsidRDefault="00F60B5F" w:rsidP="00450943">
      <w:r>
        <w:t>This analysis reports the contemporaneous effect of macroeconomic shocks, whereas in many situations there will be enduring influences. While the national GST pool recovered from the lows of 2009</w:t>
      </w:r>
      <w:r>
        <w:noBreakHyphen/>
        <w:t>10 following the global financial crisis, since then national GST pool growth has remained below trend. This is consistent with the changes in household consumption. Similarly, following a temporary recovery in land transfer volumes in 2009</w:t>
      </w:r>
      <w:r>
        <w:noBreakHyphen/>
        <w:t>10, property market turnover was subdued for a number of years as potential buyers were cautious about entering the market.</w:t>
      </w:r>
    </w:p>
    <w:p w:rsidR="00F60B5F" w:rsidRDefault="00F60B5F" w:rsidP="00EE5AEB">
      <w:pPr>
        <w:pStyle w:val="Tableheading"/>
      </w:pPr>
      <w:r>
        <w:t>Table D.5:</w:t>
      </w:r>
      <w:r>
        <w:tab/>
        <w:t>Actual deviations to key revenue lines from 2008</w:t>
      </w:r>
      <w:r>
        <w:noBreakHyphen/>
        <w:t>09 budgeted levels</w:t>
      </w:r>
    </w:p>
    <w:p w:rsidR="00F60B5F" w:rsidRPr="00B056A7" w:rsidRDefault="00F60B5F" w:rsidP="00B056A7">
      <w:pPr>
        <w:pStyle w:val="million"/>
        <w:rPr>
          <w:rFonts w:ascii="Times New Roman" w:hAnsi="Times New Roman"/>
          <w:i w:val="0"/>
          <w:sz w:val="20"/>
          <w:szCs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F60B5F" w:rsidRPr="00B056A7" w:rsidTr="00B056A7">
        <w:tc>
          <w:tcPr>
            <w:tcW w:w="4665" w:type="dxa"/>
            <w:tcBorders>
              <w:top w:val="single" w:sz="12" w:space="0" w:color="auto"/>
              <w:left w:val="single" w:sz="12" w:space="0" w:color="auto"/>
            </w:tcBorders>
            <w:shd w:val="clear" w:color="auto" w:fill="000000"/>
          </w:tcPr>
          <w:p w:rsidR="00F60B5F" w:rsidRPr="00B056A7" w:rsidRDefault="00F60B5F" w:rsidP="00B056A7">
            <w:pPr>
              <w:pStyle w:val="Tabletext"/>
              <w:rPr>
                <w:rFonts w:eastAsiaTheme="minorEastAsia"/>
                <w:lang w:eastAsia="en-AU"/>
              </w:rPr>
            </w:pPr>
          </w:p>
        </w:tc>
        <w:tc>
          <w:tcPr>
            <w:tcW w:w="1036" w:type="dxa"/>
            <w:tcBorders>
              <w:top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2008</w:t>
            </w:r>
            <w:r>
              <w:rPr>
                <w:rFonts w:eastAsiaTheme="minorEastAsia"/>
                <w:lang w:eastAsia="en-AU"/>
              </w:rPr>
              <w:noBreakHyphen/>
            </w:r>
            <w:r w:rsidRPr="00B056A7">
              <w:rPr>
                <w:rFonts w:eastAsiaTheme="minorEastAsia"/>
                <w:lang w:eastAsia="en-AU"/>
              </w:rPr>
              <w:t>09</w:t>
            </w:r>
          </w:p>
        </w:tc>
        <w:tc>
          <w:tcPr>
            <w:tcW w:w="1036" w:type="dxa"/>
            <w:tcBorders>
              <w:top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2008</w:t>
            </w:r>
            <w:r>
              <w:rPr>
                <w:rFonts w:eastAsiaTheme="minorEastAsia"/>
                <w:lang w:eastAsia="en-AU"/>
              </w:rPr>
              <w:noBreakHyphen/>
            </w:r>
            <w:r w:rsidRPr="00B056A7">
              <w:rPr>
                <w:rFonts w:eastAsiaTheme="minorEastAsia"/>
                <w:lang w:eastAsia="en-AU"/>
              </w:rPr>
              <w:t>09</w:t>
            </w:r>
          </w:p>
        </w:tc>
        <w:tc>
          <w:tcPr>
            <w:tcW w:w="1036" w:type="dxa"/>
            <w:tcBorders>
              <w:top w:val="single" w:sz="12" w:space="0" w:color="auto"/>
              <w:right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Forecast</w:t>
            </w:r>
          </w:p>
        </w:tc>
      </w:tr>
      <w:tr w:rsidR="00F60B5F" w:rsidRPr="00B056A7" w:rsidTr="00B056A7">
        <w:tc>
          <w:tcPr>
            <w:tcW w:w="4665" w:type="dxa"/>
            <w:tcBorders>
              <w:top w:val="nil"/>
              <w:left w:val="single" w:sz="12" w:space="0" w:color="auto"/>
              <w:bottom w:val="single" w:sz="12" w:space="0" w:color="auto"/>
            </w:tcBorders>
            <w:shd w:val="clear" w:color="auto" w:fill="000000"/>
          </w:tcPr>
          <w:p w:rsidR="00F60B5F" w:rsidRPr="00B056A7" w:rsidRDefault="00F60B5F" w:rsidP="00B056A7">
            <w:pPr>
              <w:pStyle w:val="Tabletext"/>
              <w:rPr>
                <w:rFonts w:eastAsiaTheme="minorEastAsia"/>
                <w:lang w:eastAsia="en-AU"/>
              </w:rPr>
            </w:pPr>
          </w:p>
        </w:tc>
        <w:tc>
          <w:tcPr>
            <w:tcW w:w="1036" w:type="dxa"/>
            <w:tcBorders>
              <w:top w:val="nil"/>
              <w:bottom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Budget</w:t>
            </w:r>
          </w:p>
        </w:tc>
        <w:tc>
          <w:tcPr>
            <w:tcW w:w="1036" w:type="dxa"/>
            <w:tcBorders>
              <w:top w:val="nil"/>
              <w:bottom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Actual</w:t>
            </w:r>
          </w:p>
        </w:tc>
        <w:tc>
          <w:tcPr>
            <w:tcW w:w="1036" w:type="dxa"/>
            <w:tcBorders>
              <w:top w:val="nil"/>
              <w:bottom w:val="single" w:sz="12" w:space="0" w:color="auto"/>
              <w:right w:val="single" w:sz="12" w:space="0" w:color="auto"/>
            </w:tcBorders>
            <w:shd w:val="clear" w:color="auto" w:fill="000000"/>
          </w:tcPr>
          <w:p w:rsidR="00F60B5F" w:rsidRPr="00B056A7" w:rsidRDefault="00F60B5F" w:rsidP="00B056A7">
            <w:pPr>
              <w:pStyle w:val="Tabletextheading"/>
              <w:rPr>
                <w:rFonts w:eastAsiaTheme="minorEastAsia"/>
                <w:lang w:eastAsia="en-AU"/>
              </w:rPr>
            </w:pPr>
            <w:r w:rsidRPr="00B056A7">
              <w:rPr>
                <w:rFonts w:eastAsiaTheme="minorEastAsia"/>
                <w:lang w:eastAsia="en-AU"/>
              </w:rPr>
              <w:t>error</w:t>
            </w:r>
          </w:p>
        </w:tc>
      </w:tr>
      <w:tr w:rsidR="00F60B5F" w:rsidRPr="00B056A7" w:rsidTr="00B056A7">
        <w:tc>
          <w:tcPr>
            <w:tcW w:w="4665" w:type="dxa"/>
            <w:tcBorders>
              <w:top w:val="single" w:sz="12" w:space="0" w:color="auto"/>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Payroll taxes</w:t>
            </w:r>
          </w:p>
        </w:tc>
        <w:tc>
          <w:tcPr>
            <w:tcW w:w="1036" w:type="dxa"/>
            <w:tcBorders>
              <w:top w:val="single" w:sz="12" w:space="0" w:color="auto"/>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3 963</w:t>
            </w:r>
          </w:p>
        </w:tc>
        <w:tc>
          <w:tcPr>
            <w:tcW w:w="1036" w:type="dxa"/>
            <w:tcBorders>
              <w:top w:val="single" w:sz="12" w:space="0" w:color="auto"/>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3 980</w:t>
            </w:r>
          </w:p>
        </w:tc>
        <w:tc>
          <w:tcPr>
            <w:tcW w:w="1036" w:type="dxa"/>
            <w:tcBorders>
              <w:top w:val="single" w:sz="12" w:space="0" w:color="auto"/>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 xml:space="preserve"> 17</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Land transfer duty</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3 737</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2 801</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(936)</w:t>
            </w:r>
          </w:p>
        </w:tc>
      </w:tr>
      <w:tr w:rsidR="00F60B5F" w:rsidRPr="00B056A7" w:rsidTr="00B056A7">
        <w:tc>
          <w:tcPr>
            <w:tcW w:w="4665" w:type="dxa"/>
            <w:tcBorders>
              <w:top w:val="nil"/>
              <w:left w:val="nil"/>
              <w:bottom w:val="single" w:sz="6" w:space="0" w:color="auto"/>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Other own</w:t>
            </w:r>
            <w:r>
              <w:rPr>
                <w:rFonts w:eastAsiaTheme="minorEastAsia"/>
                <w:color w:val="000000"/>
                <w:lang w:eastAsia="en-AU"/>
              </w:rPr>
              <w:noBreakHyphen/>
            </w:r>
            <w:r w:rsidRPr="00B056A7">
              <w:rPr>
                <w:rFonts w:eastAsiaTheme="minorEastAsia"/>
                <w:color w:val="000000"/>
                <w:lang w:eastAsia="en-AU"/>
              </w:rPr>
              <w:t>sourced revenue</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5 683</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5 846</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 xml:space="preserve"> 163</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Taxation revenue</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13 383</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12 627</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(756)</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Other revenue</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14 146</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17 339</w:t>
            </w:r>
          </w:p>
        </w:tc>
        <w:tc>
          <w:tcPr>
            <w:tcW w:w="1036" w:type="dxa"/>
            <w:tcBorders>
              <w:top w:val="nil"/>
              <w:left w:val="nil"/>
              <w:bottom w:val="nil"/>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3 193</w:t>
            </w:r>
          </w:p>
        </w:tc>
      </w:tr>
      <w:tr w:rsidR="00F60B5F" w:rsidRPr="00B056A7" w:rsidTr="00B056A7">
        <w:tc>
          <w:tcPr>
            <w:tcW w:w="4665" w:type="dxa"/>
            <w:tcBorders>
              <w:top w:val="nil"/>
              <w:left w:val="nil"/>
              <w:bottom w:val="single" w:sz="6" w:space="0" w:color="auto"/>
              <w:right w:val="nil"/>
            </w:tcBorders>
          </w:tcPr>
          <w:p w:rsidR="00F60B5F" w:rsidRPr="00B056A7" w:rsidRDefault="00F60B5F" w:rsidP="00B056A7">
            <w:pPr>
              <w:pStyle w:val="Tabletext"/>
              <w:rPr>
                <w:rFonts w:eastAsiaTheme="minorEastAsia"/>
                <w:color w:val="000000"/>
                <w:lang w:eastAsia="en-AU"/>
              </w:rPr>
            </w:pPr>
            <w:r w:rsidRPr="00B056A7">
              <w:rPr>
                <w:rFonts w:eastAsiaTheme="minorEastAsia"/>
                <w:color w:val="000000"/>
                <w:lang w:eastAsia="en-AU"/>
              </w:rPr>
              <w:t>GST</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10 281</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sidRPr="00B056A7">
              <w:rPr>
                <w:rFonts w:eastAsiaTheme="minorEastAsia"/>
                <w:color w:val="000000"/>
                <w:lang w:eastAsia="en-AU"/>
              </w:rPr>
              <w:t>9 319</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color w:val="000000"/>
                <w:lang w:eastAsia="en-AU"/>
              </w:rPr>
            </w:pPr>
            <w:r>
              <w:rPr>
                <w:rFonts w:eastAsiaTheme="minorEastAsia"/>
                <w:color w:val="000000"/>
                <w:lang w:eastAsia="en-AU"/>
              </w:rPr>
              <w:t>(962)</w:t>
            </w:r>
          </w:p>
        </w:tc>
      </w:tr>
      <w:tr w:rsidR="00F60B5F" w:rsidRPr="00B056A7" w:rsidTr="00B056A7">
        <w:tc>
          <w:tcPr>
            <w:tcW w:w="4665" w:type="dxa"/>
            <w:tcBorders>
              <w:top w:val="nil"/>
              <w:left w:val="nil"/>
              <w:bottom w:val="nil"/>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Total revenue</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37 810</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39 285</w:t>
            </w:r>
          </w:p>
        </w:tc>
        <w:tc>
          <w:tcPr>
            <w:tcW w:w="1036" w:type="dxa"/>
            <w:tcBorders>
              <w:top w:val="nil"/>
              <w:left w:val="nil"/>
              <w:bottom w:val="nil"/>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1 475</w:t>
            </w:r>
          </w:p>
        </w:tc>
      </w:tr>
      <w:tr w:rsidR="00F60B5F" w:rsidRPr="00B056A7" w:rsidTr="00B056A7">
        <w:tc>
          <w:tcPr>
            <w:tcW w:w="4665" w:type="dxa"/>
            <w:tcBorders>
              <w:top w:val="nil"/>
              <w:left w:val="nil"/>
              <w:bottom w:val="single" w:sz="6"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Total expenses</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36 982</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39 034</w:t>
            </w:r>
          </w:p>
        </w:tc>
        <w:tc>
          <w:tcPr>
            <w:tcW w:w="1036" w:type="dxa"/>
            <w:tcBorders>
              <w:top w:val="nil"/>
              <w:left w:val="nil"/>
              <w:bottom w:val="single" w:sz="6"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2 051</w:t>
            </w:r>
          </w:p>
        </w:tc>
      </w:tr>
      <w:tr w:rsidR="00F60B5F" w:rsidRPr="00B056A7" w:rsidTr="00B056A7">
        <w:tc>
          <w:tcPr>
            <w:tcW w:w="4665" w:type="dxa"/>
            <w:tcBorders>
              <w:top w:val="single" w:sz="6" w:space="0" w:color="auto"/>
              <w:left w:val="nil"/>
              <w:bottom w:val="single" w:sz="12" w:space="0" w:color="auto"/>
              <w:right w:val="nil"/>
            </w:tcBorders>
          </w:tcPr>
          <w:p w:rsidR="00F60B5F" w:rsidRPr="00B056A7" w:rsidRDefault="00F60B5F" w:rsidP="00B056A7">
            <w:pPr>
              <w:pStyle w:val="Tabletext"/>
              <w:rPr>
                <w:rFonts w:eastAsiaTheme="minorEastAsia"/>
                <w:b/>
                <w:bCs/>
                <w:color w:val="000000"/>
                <w:lang w:eastAsia="en-AU"/>
              </w:rPr>
            </w:pPr>
            <w:r w:rsidRPr="00B056A7">
              <w:rPr>
                <w:rFonts w:eastAsiaTheme="minorEastAsia"/>
                <w:b/>
                <w:bCs/>
                <w:color w:val="000000"/>
                <w:lang w:eastAsia="en-AU"/>
              </w:rPr>
              <w:t>Net result from transactions</w:t>
            </w:r>
          </w:p>
        </w:tc>
        <w:tc>
          <w:tcPr>
            <w:tcW w:w="1036" w:type="dxa"/>
            <w:tcBorders>
              <w:top w:val="nil"/>
              <w:left w:val="nil"/>
              <w:bottom w:val="single" w:sz="12"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 xml:space="preserve"> 828</w:t>
            </w:r>
          </w:p>
        </w:tc>
        <w:tc>
          <w:tcPr>
            <w:tcW w:w="1036" w:type="dxa"/>
            <w:tcBorders>
              <w:top w:val="nil"/>
              <w:left w:val="nil"/>
              <w:bottom w:val="single" w:sz="12" w:space="0" w:color="auto"/>
              <w:right w:val="nil"/>
            </w:tcBorders>
          </w:tcPr>
          <w:p w:rsidR="00F60B5F" w:rsidRPr="00B056A7" w:rsidRDefault="00F60B5F" w:rsidP="00B056A7">
            <w:pPr>
              <w:pStyle w:val="TableofFigures"/>
              <w:rPr>
                <w:rFonts w:eastAsiaTheme="minorEastAsia"/>
                <w:b/>
                <w:bCs/>
                <w:color w:val="000000"/>
                <w:lang w:eastAsia="en-AU"/>
              </w:rPr>
            </w:pPr>
            <w:r w:rsidRPr="00B056A7">
              <w:rPr>
                <w:rFonts w:eastAsiaTheme="minorEastAsia"/>
                <w:b/>
                <w:bCs/>
                <w:color w:val="000000"/>
                <w:lang w:eastAsia="en-AU"/>
              </w:rPr>
              <w:t xml:space="preserve"> 251</w:t>
            </w:r>
          </w:p>
        </w:tc>
        <w:tc>
          <w:tcPr>
            <w:tcW w:w="1036" w:type="dxa"/>
            <w:tcBorders>
              <w:top w:val="nil"/>
              <w:left w:val="nil"/>
              <w:bottom w:val="single" w:sz="12" w:space="0" w:color="auto"/>
              <w:right w:val="nil"/>
            </w:tcBorders>
          </w:tcPr>
          <w:p w:rsidR="00F60B5F" w:rsidRPr="00B056A7" w:rsidRDefault="00F60B5F" w:rsidP="00B056A7">
            <w:pPr>
              <w:pStyle w:val="TableofFigures"/>
              <w:rPr>
                <w:rFonts w:eastAsiaTheme="minorEastAsia"/>
                <w:b/>
                <w:bCs/>
                <w:color w:val="000000"/>
                <w:lang w:eastAsia="en-AU"/>
              </w:rPr>
            </w:pPr>
            <w:r>
              <w:rPr>
                <w:rFonts w:eastAsiaTheme="minorEastAsia"/>
                <w:b/>
                <w:bCs/>
                <w:color w:val="000000"/>
                <w:lang w:eastAsia="en-AU"/>
              </w:rPr>
              <w:t>(576)</w:t>
            </w:r>
          </w:p>
        </w:tc>
      </w:tr>
    </w:tbl>
    <w:p w:rsidR="00F60B5F" w:rsidRDefault="00F60B5F" w:rsidP="00EE5AEB">
      <w:pPr>
        <w:pStyle w:val="Source"/>
      </w:pPr>
      <w:r w:rsidRPr="00EE5AEB">
        <w:t>Source: Department of Treasury and Finance</w:t>
      </w:r>
    </w:p>
    <w:p w:rsidR="00F60B5F" w:rsidRPr="001F6EBF" w:rsidRDefault="00F60B5F" w:rsidP="001F6EBF"/>
    <w:p w:rsidR="00F60B5F" w:rsidRDefault="00F60B5F" w:rsidP="00856AFF"/>
    <w:p w:rsidR="00F60B5F" w:rsidRDefault="00F60B5F" w:rsidP="00856AFF">
      <w:pPr>
        <w:sectPr w:rsidR="00F60B5F" w:rsidSect="006C00BC">
          <w:footerReference w:type="even" r:id="rId43"/>
          <w:footerReference w:type="default" r:id="rId44"/>
          <w:type w:val="oddPage"/>
          <w:pgSz w:w="9979" w:h="14181" w:code="138"/>
          <w:pgMar w:top="1138" w:right="1138" w:bottom="1138" w:left="1138" w:header="720" w:footer="720" w:gutter="0"/>
          <w:cols w:space="708"/>
          <w:docGrid w:linePitch="360"/>
        </w:sectPr>
      </w:pPr>
    </w:p>
    <w:p w:rsidR="00F60B5F" w:rsidRDefault="00F60B5F" w:rsidP="009445B6">
      <w:pPr>
        <w:pStyle w:val="ChapterHeading"/>
      </w:pPr>
      <w:bookmarkStart w:id="73" w:name="_Toc374373980"/>
      <w:r w:rsidRPr="009445B6">
        <w:t>Appendix</w:t>
      </w:r>
      <w:r>
        <w:rPr>
          <w:caps w:val="0"/>
        </w:rPr>
        <w:t> E</w:t>
      </w:r>
      <w:r>
        <w:t xml:space="preserve"> – Requirements of the </w:t>
      </w:r>
      <w:r w:rsidRPr="00905716">
        <w:rPr>
          <w:i/>
        </w:rPr>
        <w:t>Financial Management Act 1994</w:t>
      </w:r>
      <w:bookmarkEnd w:id="73"/>
    </w:p>
    <w:p w:rsidR="00F60B5F" w:rsidRDefault="00F60B5F" w:rsidP="000738DA">
      <w:pPr>
        <w:rPr>
          <w:lang w:eastAsia="en-AU"/>
        </w:rPr>
      </w:pPr>
      <w:r>
        <w:rPr>
          <w:lang w:eastAsia="en-AU"/>
        </w:rPr>
        <w:t xml:space="preserve">The </w:t>
      </w:r>
      <w:r>
        <w:rPr>
          <w:rFonts w:ascii="Garamond-Italic" w:hAnsi="Garamond-Italic" w:cs="Garamond-Italic"/>
          <w:i/>
          <w:iCs/>
          <w:lang w:eastAsia="en-AU"/>
        </w:rPr>
        <w:t xml:space="preserve">Financial Management Act 1994 </w:t>
      </w:r>
      <w:r>
        <w:rPr>
          <w:lang w:eastAsia="en-AU"/>
        </w:rPr>
        <w:t xml:space="preserve">(the Act) requires the Minister to prepare a budget update for tabling in Parliament each financial year. The provisions of the Act have been complied with in </w:t>
      </w:r>
      <w:r w:rsidRPr="00321815">
        <w:t xml:space="preserve">the </w:t>
      </w:r>
      <w:r w:rsidRPr="00321815">
        <w:rPr>
          <w:i/>
        </w:rPr>
        <w:t>2013</w:t>
      </w:r>
      <w:r w:rsidRPr="00321815">
        <w:rPr>
          <w:i/>
        </w:rPr>
        <w:noBreakHyphen/>
        <w:t>14 Budget Update</w:t>
      </w:r>
      <w:r w:rsidRPr="00321815">
        <w:t>.</w:t>
      </w:r>
    </w:p>
    <w:p w:rsidR="00F60B5F" w:rsidRDefault="00F60B5F" w:rsidP="000738DA">
      <w:pPr>
        <w:rPr>
          <w:lang w:eastAsia="en-AU"/>
        </w:rPr>
      </w:pPr>
      <w:r>
        <w:rPr>
          <w:lang w:eastAsia="en-AU"/>
        </w:rPr>
        <w:t>Table E.1 details the statements required to be included in this document under the provisions of the Act together with appropriate chapter references.</w:t>
      </w:r>
    </w:p>
    <w:p w:rsidR="00F60B5F" w:rsidRPr="00DF427C" w:rsidRDefault="00F60B5F" w:rsidP="006F629E">
      <w:pPr>
        <w:pStyle w:val="Tableheading"/>
        <w:rPr>
          <w:i/>
        </w:rPr>
      </w:pPr>
      <w:r w:rsidRPr="00DF427C">
        <w:t>Table E.1:</w:t>
      </w:r>
      <w:r w:rsidRPr="00DF427C">
        <w:tab/>
        <w:t xml:space="preserve">Statements required by the </w:t>
      </w:r>
      <w:r w:rsidRPr="00DF427C">
        <w:rPr>
          <w:i/>
        </w:rPr>
        <w:t>Financial Management Act 1994</w:t>
      </w:r>
      <w:r w:rsidRPr="00DF427C">
        <w:t xml:space="preserve"> and their location in the </w:t>
      </w:r>
      <w:r w:rsidRPr="00DF427C">
        <w:rPr>
          <w:i/>
        </w:rPr>
        <w:t>201</w:t>
      </w:r>
      <w:r>
        <w:rPr>
          <w:i/>
        </w:rPr>
        <w:t>3</w:t>
      </w:r>
      <w:r>
        <w:rPr>
          <w:i/>
        </w:rPr>
        <w:noBreakHyphen/>
      </w:r>
      <w:r w:rsidRPr="00DF427C">
        <w:rPr>
          <w:i/>
        </w:rPr>
        <w:t>1</w:t>
      </w:r>
      <w:r>
        <w:rPr>
          <w:i/>
        </w:rPr>
        <w:t>4</w:t>
      </w:r>
      <w:r w:rsidRPr="00DF427C">
        <w:rPr>
          <w:i/>
        </w:rPr>
        <w:t> Budget Update</w:t>
      </w:r>
    </w:p>
    <w:tbl>
      <w:tblPr>
        <w:tblW w:w="0" w:type="auto"/>
        <w:tblCellMar>
          <w:left w:w="43" w:type="dxa"/>
          <w:right w:w="43" w:type="dxa"/>
        </w:tblCellMar>
        <w:tblLook w:val="01E0" w:firstRow="1" w:lastRow="1" w:firstColumn="1" w:lastColumn="1" w:noHBand="0" w:noVBand="0"/>
      </w:tblPr>
      <w:tblGrid>
        <w:gridCol w:w="3896"/>
        <w:gridCol w:w="3893"/>
      </w:tblGrid>
      <w:tr w:rsidR="00F60B5F" w:rsidRPr="00DF427C" w:rsidTr="00333843">
        <w:trPr>
          <w:tblHeader/>
        </w:trPr>
        <w:tc>
          <w:tcPr>
            <w:tcW w:w="3896" w:type="dxa"/>
            <w:tcBorders>
              <w:top w:val="single" w:sz="6" w:space="0" w:color="auto"/>
              <w:left w:val="single" w:sz="6" w:space="0" w:color="auto"/>
              <w:bottom w:val="single" w:sz="6" w:space="0" w:color="auto"/>
            </w:tcBorders>
            <w:shd w:val="clear" w:color="auto" w:fill="000000"/>
          </w:tcPr>
          <w:p w:rsidR="00F60B5F" w:rsidRPr="00DF427C" w:rsidRDefault="00F60B5F" w:rsidP="00333843">
            <w:pPr>
              <w:pStyle w:val="Tabletextheadingleft"/>
            </w:pPr>
            <w:r w:rsidRPr="00DF427C">
              <w:t xml:space="preserve">Relevant section of the Act and </w:t>
            </w:r>
            <w:r w:rsidRPr="00DF427C">
              <w:br/>
              <w:t>corresponding requirement</w:t>
            </w:r>
          </w:p>
        </w:tc>
        <w:tc>
          <w:tcPr>
            <w:tcW w:w="3893" w:type="dxa"/>
            <w:tcBorders>
              <w:top w:val="single" w:sz="6" w:space="0" w:color="auto"/>
              <w:bottom w:val="single" w:sz="6" w:space="0" w:color="auto"/>
              <w:right w:val="single" w:sz="6" w:space="0" w:color="auto"/>
            </w:tcBorders>
            <w:shd w:val="clear" w:color="auto" w:fill="000000"/>
            <w:vAlign w:val="bottom"/>
          </w:tcPr>
          <w:p w:rsidR="00F60B5F" w:rsidRPr="00DF427C" w:rsidRDefault="00F60B5F" w:rsidP="00333843">
            <w:pPr>
              <w:pStyle w:val="Tabletextheadingleft"/>
            </w:pPr>
            <w:r w:rsidRPr="00DF427C">
              <w:t>Location</w:t>
            </w:r>
          </w:p>
        </w:tc>
      </w:tr>
      <w:tr w:rsidR="00F60B5F" w:rsidRPr="00DF427C" w:rsidTr="00333843">
        <w:tc>
          <w:tcPr>
            <w:tcW w:w="3896" w:type="dxa"/>
            <w:tcBorders>
              <w:top w:val="single" w:sz="6" w:space="0" w:color="auto"/>
            </w:tcBorders>
            <w:shd w:val="clear" w:color="auto" w:fill="auto"/>
          </w:tcPr>
          <w:p w:rsidR="00F60B5F" w:rsidRPr="00DF427C" w:rsidRDefault="00F60B5F" w:rsidP="00333843">
            <w:pPr>
              <w:pStyle w:val="Tabletext"/>
              <w:ind w:left="0" w:firstLine="0"/>
              <w:rPr>
                <w:b/>
              </w:rPr>
            </w:pPr>
            <w:r w:rsidRPr="00DF427C">
              <w:rPr>
                <w:b/>
              </w:rPr>
              <w:t>Sections 23 E</w:t>
            </w:r>
            <w:r>
              <w:rPr>
                <w:b/>
              </w:rPr>
              <w:noBreakHyphen/>
            </w:r>
            <w:r w:rsidRPr="00DF427C">
              <w:rPr>
                <w:b/>
              </w:rPr>
              <w:t>G</w:t>
            </w:r>
          </w:p>
        </w:tc>
        <w:tc>
          <w:tcPr>
            <w:tcW w:w="3893" w:type="dxa"/>
            <w:tcBorders>
              <w:top w:val="single" w:sz="6" w:space="0" w:color="auto"/>
            </w:tcBorders>
            <w:shd w:val="clear" w:color="auto" w:fill="auto"/>
          </w:tcPr>
          <w:p w:rsidR="00F60B5F" w:rsidRPr="00DF427C" w:rsidRDefault="00F60B5F" w:rsidP="00333843">
            <w:pPr>
              <w:pStyle w:val="Tabletext"/>
              <w:ind w:left="0" w:firstLine="0"/>
            </w:pPr>
          </w:p>
        </w:tc>
      </w:tr>
      <w:tr w:rsidR="00F60B5F" w:rsidRPr="00DF427C" w:rsidTr="00333843">
        <w:tc>
          <w:tcPr>
            <w:tcW w:w="3896" w:type="dxa"/>
            <w:shd w:val="clear" w:color="auto" w:fill="auto"/>
          </w:tcPr>
          <w:p w:rsidR="00F60B5F" w:rsidRPr="00DF427C" w:rsidRDefault="00F60B5F" w:rsidP="00333843">
            <w:pPr>
              <w:pStyle w:val="Tabletext"/>
              <w:ind w:left="0" w:firstLine="0"/>
            </w:pPr>
            <w:r w:rsidRPr="00DF427C">
              <w:t>Statement of financial policy objectives and strategies for the year.</w:t>
            </w:r>
          </w:p>
        </w:tc>
        <w:tc>
          <w:tcPr>
            <w:tcW w:w="3893" w:type="dxa"/>
            <w:shd w:val="clear" w:color="auto" w:fill="auto"/>
          </w:tcPr>
          <w:p w:rsidR="00F60B5F" w:rsidRPr="00DF427C" w:rsidRDefault="00F60B5F" w:rsidP="00333843">
            <w:pPr>
              <w:pStyle w:val="Tabletext"/>
              <w:ind w:left="0" w:firstLine="0"/>
            </w:pPr>
            <w:r w:rsidRPr="00EB4D3E">
              <w:t>Chapter 1</w:t>
            </w:r>
            <w:r w:rsidRPr="00DF427C">
              <w:t xml:space="preserve"> </w:t>
            </w:r>
            <w:r w:rsidRPr="00DF427C">
              <w:rPr>
                <w:i/>
              </w:rPr>
              <w:t>Economic and fiscal overview</w:t>
            </w:r>
          </w:p>
        </w:tc>
      </w:tr>
      <w:tr w:rsidR="00F60B5F" w:rsidRPr="00DF427C" w:rsidTr="00333843">
        <w:tc>
          <w:tcPr>
            <w:tcW w:w="3896" w:type="dxa"/>
            <w:shd w:val="clear" w:color="auto" w:fill="auto"/>
          </w:tcPr>
          <w:p w:rsidR="00F60B5F" w:rsidRPr="00DF427C" w:rsidRDefault="00F60B5F" w:rsidP="00333843">
            <w:pPr>
              <w:pStyle w:val="Tabletext"/>
              <w:ind w:left="0" w:firstLine="0"/>
              <w:rPr>
                <w:b/>
              </w:rPr>
            </w:pPr>
            <w:r w:rsidRPr="00DF427C">
              <w:rPr>
                <w:b/>
              </w:rPr>
              <w:t>Sections 23 H</w:t>
            </w:r>
            <w:r>
              <w:rPr>
                <w:b/>
              </w:rPr>
              <w:noBreakHyphen/>
            </w:r>
            <w:r w:rsidRPr="00DF427C">
              <w:rPr>
                <w:b/>
              </w:rPr>
              <w:t>N</w:t>
            </w:r>
          </w:p>
        </w:tc>
        <w:tc>
          <w:tcPr>
            <w:tcW w:w="3893" w:type="dxa"/>
            <w:shd w:val="clear" w:color="auto" w:fill="auto"/>
          </w:tcPr>
          <w:p w:rsidR="00F60B5F" w:rsidRPr="00DF427C" w:rsidRDefault="00F60B5F" w:rsidP="00333843">
            <w:pPr>
              <w:pStyle w:val="Tabletext"/>
              <w:ind w:left="0" w:firstLine="0"/>
            </w:pPr>
          </w:p>
        </w:tc>
      </w:tr>
      <w:tr w:rsidR="00F60B5F" w:rsidRPr="00DF427C" w:rsidTr="00333843">
        <w:tc>
          <w:tcPr>
            <w:tcW w:w="3896" w:type="dxa"/>
            <w:shd w:val="clear" w:color="auto" w:fill="auto"/>
          </w:tcPr>
          <w:p w:rsidR="00F60B5F" w:rsidRPr="00DF427C" w:rsidRDefault="00F60B5F" w:rsidP="00333843">
            <w:pPr>
              <w:pStyle w:val="Tabletext"/>
              <w:ind w:left="0" w:firstLine="0"/>
            </w:pPr>
            <w:r w:rsidRPr="00DF427C">
              <w:t>Estimated financial statements for the year comprising:</w:t>
            </w:r>
          </w:p>
          <w:p w:rsidR="00F60B5F" w:rsidRPr="00DF427C" w:rsidRDefault="00F60B5F" w:rsidP="00A360C4">
            <w:pPr>
              <w:pStyle w:val="Tabletext"/>
              <w:numPr>
                <w:ilvl w:val="0"/>
                <w:numId w:val="38"/>
              </w:numPr>
              <w:rPr>
                <w:rFonts w:cs="Garamond"/>
              </w:rPr>
            </w:pPr>
            <w:r w:rsidRPr="00DF427C">
              <w:rPr>
                <w:rFonts w:cs="Garamond"/>
              </w:rPr>
              <w:t>an estimated statement of financial performance over the year;</w:t>
            </w:r>
          </w:p>
          <w:p w:rsidR="00F60B5F" w:rsidRPr="00DF427C" w:rsidRDefault="00F60B5F" w:rsidP="00A360C4">
            <w:pPr>
              <w:pStyle w:val="Tabletext"/>
              <w:numPr>
                <w:ilvl w:val="0"/>
                <w:numId w:val="38"/>
              </w:numPr>
              <w:rPr>
                <w:rFonts w:cs="Garamond"/>
              </w:rPr>
            </w:pPr>
            <w:r w:rsidRPr="00DF427C">
              <w:rPr>
                <w:rFonts w:cs="Garamond"/>
              </w:rPr>
              <w:t>an estimated statement of financial position at the end of the year;</w:t>
            </w:r>
          </w:p>
          <w:p w:rsidR="00F60B5F" w:rsidRPr="00DF427C" w:rsidRDefault="00F60B5F" w:rsidP="00A360C4">
            <w:pPr>
              <w:pStyle w:val="Tabletext"/>
              <w:numPr>
                <w:ilvl w:val="0"/>
                <w:numId w:val="38"/>
              </w:numPr>
              <w:rPr>
                <w:rFonts w:cs="Garamond"/>
              </w:rPr>
            </w:pPr>
            <w:r w:rsidRPr="00DF427C">
              <w:rPr>
                <w:rFonts w:cs="Garamond"/>
              </w:rPr>
              <w:t xml:space="preserve">an estimated statement of cash flows for the year; </w:t>
            </w:r>
          </w:p>
          <w:p w:rsidR="00F60B5F" w:rsidRPr="00DF427C" w:rsidRDefault="00F60B5F" w:rsidP="00A360C4">
            <w:pPr>
              <w:pStyle w:val="Tabletext"/>
              <w:numPr>
                <w:ilvl w:val="0"/>
                <w:numId w:val="38"/>
              </w:numPr>
            </w:pPr>
            <w:r w:rsidRPr="00DF427C">
              <w:rPr>
                <w:rFonts w:cs="Garamond"/>
              </w:rPr>
              <w:t>a statement of the accounting policies on which these statements are based and explanatory notes; and</w:t>
            </w:r>
          </w:p>
          <w:p w:rsidR="00F60B5F" w:rsidRPr="00DF427C" w:rsidRDefault="00F60B5F" w:rsidP="00A360C4">
            <w:pPr>
              <w:pStyle w:val="Tabletext"/>
              <w:numPr>
                <w:ilvl w:val="0"/>
                <w:numId w:val="38"/>
              </w:numPr>
            </w:pPr>
            <w:r w:rsidRPr="00DF427C">
              <w:rPr>
                <w:rFonts w:cs="Garamond"/>
              </w:rPr>
              <w:t>government decisions and other circumstances that may have a material effect on the estimated financial statements.</w:t>
            </w:r>
          </w:p>
        </w:tc>
        <w:tc>
          <w:tcPr>
            <w:tcW w:w="3893" w:type="dxa"/>
            <w:shd w:val="clear" w:color="auto" w:fill="auto"/>
          </w:tcPr>
          <w:p w:rsidR="00F60B5F" w:rsidRPr="00DF427C" w:rsidRDefault="00F60B5F" w:rsidP="00333843">
            <w:pPr>
              <w:pStyle w:val="Tabletext"/>
              <w:ind w:left="0" w:firstLine="0"/>
            </w:pPr>
            <w:r w:rsidRPr="00EB4D3E">
              <w:t>Chapter 5</w:t>
            </w:r>
            <w:r w:rsidRPr="00DF427C">
              <w:t xml:space="preserve"> </w:t>
            </w:r>
            <w:r w:rsidRPr="00DF427C">
              <w:rPr>
                <w:i/>
              </w:rPr>
              <w:t>Estimated financial statements and notes</w:t>
            </w:r>
            <w:r w:rsidRPr="00DF427C">
              <w:t xml:space="preserve"> (estimated consolidated comprehensive operating statement, estimated consolidated balance sheet, estimated consolidated cash flow statement and estimated consolidated statement of changes in equity provided as per AASB 1049)</w:t>
            </w:r>
          </w:p>
          <w:p w:rsidR="00F60B5F" w:rsidRPr="00DF427C" w:rsidRDefault="00F60B5F" w:rsidP="00333843">
            <w:pPr>
              <w:pStyle w:val="Tabletext"/>
              <w:ind w:left="0" w:firstLine="0"/>
            </w:pPr>
          </w:p>
          <w:p w:rsidR="00F60B5F" w:rsidRPr="00DF427C" w:rsidRDefault="00F60B5F" w:rsidP="00333843">
            <w:pPr>
              <w:pStyle w:val="Tabletext"/>
              <w:ind w:left="0" w:firstLine="0"/>
            </w:pPr>
            <w:r w:rsidRPr="00DF427C">
              <w:br/>
            </w:r>
            <w:r w:rsidRPr="00DF427C">
              <w:br/>
            </w:r>
            <w:r w:rsidRPr="00DF427C">
              <w:br/>
            </w:r>
            <w:r w:rsidRPr="00EB4D3E">
              <w:t>Appendix A</w:t>
            </w:r>
            <w:r w:rsidRPr="00DF427C">
              <w:t xml:space="preserve"> </w:t>
            </w:r>
            <w:r w:rsidRPr="00DF427C">
              <w:rPr>
                <w:i/>
              </w:rPr>
              <w:t>Specific policy initiatives affecting budget position</w:t>
            </w:r>
          </w:p>
        </w:tc>
      </w:tr>
    </w:tbl>
    <w:p w:rsidR="00F60B5F" w:rsidRDefault="00F60B5F" w:rsidP="000738DA"/>
    <w:p w:rsidR="00F60B5F" w:rsidRDefault="00F60B5F" w:rsidP="006F629E">
      <w:pPr>
        <w:pStyle w:val="Heading1"/>
      </w:pPr>
      <w:r>
        <w:br w:type="page"/>
      </w:r>
    </w:p>
    <w:p w:rsidR="00F60B5F" w:rsidRPr="00DF427C" w:rsidRDefault="00F60B5F" w:rsidP="006F629E">
      <w:pPr>
        <w:pStyle w:val="Tableheading"/>
        <w:rPr>
          <w:i/>
        </w:rPr>
      </w:pPr>
      <w:r w:rsidRPr="00DF427C">
        <w:t>Table E.1:</w:t>
      </w:r>
      <w:r w:rsidRPr="00DF427C">
        <w:tab/>
        <w:t xml:space="preserve">Statements required by the </w:t>
      </w:r>
      <w:r w:rsidRPr="00DF427C">
        <w:rPr>
          <w:i/>
        </w:rPr>
        <w:t>Financial Management Act 1994</w:t>
      </w:r>
      <w:r w:rsidRPr="00DF427C">
        <w:t xml:space="preserve"> and their location in the </w:t>
      </w:r>
      <w:r w:rsidRPr="00DF427C">
        <w:rPr>
          <w:i/>
        </w:rPr>
        <w:t>201</w:t>
      </w:r>
      <w:r>
        <w:rPr>
          <w:i/>
        </w:rPr>
        <w:t>3</w:t>
      </w:r>
      <w:r>
        <w:rPr>
          <w:i/>
        </w:rPr>
        <w:noBreakHyphen/>
      </w:r>
      <w:r w:rsidRPr="00DF427C">
        <w:rPr>
          <w:i/>
        </w:rPr>
        <w:t>1</w:t>
      </w:r>
      <w:r>
        <w:rPr>
          <w:i/>
        </w:rPr>
        <w:t>4</w:t>
      </w:r>
      <w:r w:rsidRPr="00DF427C">
        <w:rPr>
          <w:i/>
        </w:rPr>
        <w:t> Budget Update (continued)</w:t>
      </w:r>
    </w:p>
    <w:tbl>
      <w:tblPr>
        <w:tblW w:w="0" w:type="auto"/>
        <w:tblInd w:w="65" w:type="dxa"/>
        <w:tblLook w:val="01E0" w:firstRow="1" w:lastRow="1" w:firstColumn="1" w:lastColumn="1" w:noHBand="0" w:noVBand="0"/>
      </w:tblPr>
      <w:tblGrid>
        <w:gridCol w:w="3928"/>
        <w:gridCol w:w="3926"/>
      </w:tblGrid>
      <w:tr w:rsidR="00F60B5F" w:rsidRPr="00DF427C" w:rsidTr="00333843">
        <w:tc>
          <w:tcPr>
            <w:tcW w:w="3928" w:type="dxa"/>
            <w:tcBorders>
              <w:top w:val="single" w:sz="4" w:space="0" w:color="auto"/>
              <w:left w:val="single" w:sz="4" w:space="0" w:color="auto"/>
              <w:bottom w:val="single" w:sz="4" w:space="0" w:color="auto"/>
            </w:tcBorders>
            <w:shd w:val="clear" w:color="auto" w:fill="000000"/>
          </w:tcPr>
          <w:p w:rsidR="00F60B5F" w:rsidRPr="00DF427C" w:rsidRDefault="00F60B5F" w:rsidP="00333843">
            <w:pPr>
              <w:pStyle w:val="Tabletextheadingleft"/>
            </w:pPr>
            <w:r w:rsidRPr="00DF427C">
              <w:t xml:space="preserve">Relevant section of the Act and </w:t>
            </w:r>
            <w:r w:rsidRPr="00DF427C">
              <w:br/>
              <w:t>corresponding requirement</w:t>
            </w:r>
          </w:p>
        </w:tc>
        <w:tc>
          <w:tcPr>
            <w:tcW w:w="3926" w:type="dxa"/>
            <w:tcBorders>
              <w:top w:val="single" w:sz="4" w:space="0" w:color="auto"/>
              <w:bottom w:val="single" w:sz="4" w:space="0" w:color="auto"/>
              <w:right w:val="single" w:sz="4" w:space="0" w:color="auto"/>
            </w:tcBorders>
            <w:shd w:val="clear" w:color="auto" w:fill="000000"/>
          </w:tcPr>
          <w:p w:rsidR="00F60B5F" w:rsidRPr="00DF427C" w:rsidRDefault="00F60B5F" w:rsidP="00333843">
            <w:pPr>
              <w:pStyle w:val="Tabletextheadingleft"/>
            </w:pPr>
            <w:r w:rsidRPr="00DF427C">
              <w:t>Location</w:t>
            </w:r>
          </w:p>
        </w:tc>
      </w:tr>
      <w:tr w:rsidR="00F60B5F" w:rsidRPr="00DF427C" w:rsidTr="00333843">
        <w:tblPrEx>
          <w:tblCellMar>
            <w:left w:w="43" w:type="dxa"/>
            <w:right w:w="43" w:type="dxa"/>
          </w:tblCellMar>
        </w:tblPrEx>
        <w:tc>
          <w:tcPr>
            <w:tcW w:w="3928" w:type="dxa"/>
            <w:tcBorders>
              <w:top w:val="single" w:sz="4" w:space="0" w:color="auto"/>
            </w:tcBorders>
            <w:shd w:val="clear" w:color="auto" w:fill="auto"/>
          </w:tcPr>
          <w:p w:rsidR="00F60B5F" w:rsidRPr="00DF427C" w:rsidRDefault="00F60B5F" w:rsidP="00333843">
            <w:pPr>
              <w:pStyle w:val="Tabletext"/>
              <w:ind w:left="0" w:firstLine="0"/>
            </w:pPr>
            <w:r w:rsidRPr="00DF427C">
              <w:t>Accompanying statement to estimated financial statements which:</w:t>
            </w:r>
          </w:p>
        </w:tc>
        <w:tc>
          <w:tcPr>
            <w:tcW w:w="3926" w:type="dxa"/>
            <w:tcBorders>
              <w:top w:val="single" w:sz="4" w:space="0" w:color="auto"/>
            </w:tcBorders>
            <w:shd w:val="clear" w:color="auto" w:fill="auto"/>
          </w:tcPr>
          <w:p w:rsidR="00F60B5F" w:rsidRPr="00DF427C" w:rsidRDefault="00F60B5F" w:rsidP="00333843">
            <w:pPr>
              <w:pStyle w:val="Tabletext"/>
              <w:ind w:left="0" w:firstLine="0"/>
            </w:pPr>
          </w:p>
        </w:tc>
      </w:tr>
      <w:tr w:rsidR="00F60B5F" w:rsidRPr="00DF427C" w:rsidTr="00333843">
        <w:tblPrEx>
          <w:tblCellMar>
            <w:left w:w="43" w:type="dxa"/>
            <w:right w:w="43" w:type="dxa"/>
          </w:tblCellMar>
        </w:tblPrEx>
        <w:tc>
          <w:tcPr>
            <w:tcW w:w="3928" w:type="dxa"/>
            <w:shd w:val="clear" w:color="auto" w:fill="auto"/>
          </w:tcPr>
          <w:p w:rsidR="00F60B5F" w:rsidRPr="00DF427C" w:rsidRDefault="00F60B5F" w:rsidP="00A360C4">
            <w:pPr>
              <w:pStyle w:val="Tabletext"/>
              <w:numPr>
                <w:ilvl w:val="0"/>
                <w:numId w:val="38"/>
              </w:numPr>
            </w:pPr>
            <w:r w:rsidRPr="00DF427C">
              <w:rPr>
                <w:rFonts w:cs="Garamond"/>
              </w:rPr>
              <w:t>outlines the material economic assumptions used in preparation of the estimated financial statements;</w:t>
            </w:r>
          </w:p>
        </w:tc>
        <w:tc>
          <w:tcPr>
            <w:tcW w:w="3926" w:type="dxa"/>
            <w:shd w:val="clear" w:color="auto" w:fill="auto"/>
          </w:tcPr>
          <w:p w:rsidR="00F60B5F" w:rsidRPr="00DF427C" w:rsidRDefault="00F60B5F" w:rsidP="00DB0090">
            <w:pPr>
              <w:pStyle w:val="Tabletext"/>
              <w:ind w:left="0" w:firstLine="0"/>
            </w:pPr>
            <w:r w:rsidRPr="00EB4D3E">
              <w:t>Chapter 2</w:t>
            </w:r>
            <w:r w:rsidRPr="00DF427C">
              <w:t xml:space="preserve"> </w:t>
            </w:r>
            <w:r w:rsidRPr="00DF427C">
              <w:rPr>
                <w:i/>
              </w:rPr>
              <w:t xml:space="preserve">Economic context </w:t>
            </w:r>
            <w:r w:rsidRPr="00DF427C">
              <w:t xml:space="preserve">and </w:t>
            </w:r>
            <w:r w:rsidRPr="00EB4D3E">
              <w:t>Chapter 5</w:t>
            </w:r>
            <w:r w:rsidRPr="00DF427C">
              <w:t xml:space="preserve"> </w:t>
            </w:r>
            <w:r w:rsidRPr="00DF427C">
              <w:rPr>
                <w:i/>
              </w:rPr>
              <w:t>Estimated financial statements and notes</w:t>
            </w:r>
          </w:p>
        </w:tc>
      </w:tr>
      <w:tr w:rsidR="00F60B5F" w:rsidRPr="00DF427C" w:rsidTr="00333843">
        <w:tblPrEx>
          <w:tblCellMar>
            <w:left w:w="43" w:type="dxa"/>
            <w:right w:w="43" w:type="dxa"/>
          </w:tblCellMar>
        </w:tblPrEx>
        <w:tc>
          <w:tcPr>
            <w:tcW w:w="3928" w:type="dxa"/>
            <w:shd w:val="clear" w:color="auto" w:fill="auto"/>
          </w:tcPr>
          <w:p w:rsidR="00F60B5F" w:rsidRPr="00DF427C" w:rsidRDefault="00F60B5F" w:rsidP="00A360C4">
            <w:pPr>
              <w:pStyle w:val="Tabletext"/>
              <w:numPr>
                <w:ilvl w:val="0"/>
                <w:numId w:val="38"/>
              </w:numPr>
              <w:rPr>
                <w:rFonts w:cs="Garamond"/>
              </w:rPr>
            </w:pPr>
            <w:r w:rsidRPr="00DF427C">
              <w:rPr>
                <w:rFonts w:cs="Garamond"/>
              </w:rPr>
              <w:t>discusses the sensitivity of the estimated financial statements to changes in these assumptions;</w:t>
            </w:r>
          </w:p>
        </w:tc>
        <w:tc>
          <w:tcPr>
            <w:tcW w:w="3926" w:type="dxa"/>
            <w:shd w:val="clear" w:color="auto" w:fill="auto"/>
          </w:tcPr>
          <w:p w:rsidR="00F60B5F" w:rsidRPr="00DF427C" w:rsidRDefault="00F60B5F" w:rsidP="00333843">
            <w:pPr>
              <w:pStyle w:val="Tabletext"/>
              <w:ind w:left="0" w:firstLine="0"/>
            </w:pPr>
            <w:r w:rsidRPr="00EB4D3E">
              <w:t>Appendix D</w:t>
            </w:r>
            <w:r w:rsidRPr="00DF427C">
              <w:t xml:space="preserve"> </w:t>
            </w:r>
            <w:r w:rsidRPr="00DF427C">
              <w:rPr>
                <w:i/>
              </w:rPr>
              <w:t>Sensitivity analysis</w:t>
            </w:r>
          </w:p>
        </w:tc>
      </w:tr>
      <w:tr w:rsidR="00F60B5F" w:rsidRPr="00DF427C" w:rsidTr="003C6DA6">
        <w:tblPrEx>
          <w:tblCellMar>
            <w:left w:w="43" w:type="dxa"/>
            <w:right w:w="43" w:type="dxa"/>
          </w:tblCellMar>
        </w:tblPrEx>
        <w:tc>
          <w:tcPr>
            <w:tcW w:w="3928" w:type="dxa"/>
            <w:shd w:val="clear" w:color="auto" w:fill="auto"/>
          </w:tcPr>
          <w:p w:rsidR="00F60B5F" w:rsidRPr="00DF427C" w:rsidRDefault="00F60B5F" w:rsidP="00A360C4">
            <w:pPr>
              <w:pStyle w:val="Tabletext"/>
              <w:numPr>
                <w:ilvl w:val="0"/>
                <w:numId w:val="38"/>
              </w:numPr>
              <w:rPr>
                <w:rFonts w:cs="Garamond"/>
              </w:rPr>
            </w:pPr>
            <w:r w:rsidRPr="00DF427C">
              <w:rPr>
                <w:rFonts w:cs="Garamond"/>
              </w:rPr>
              <w:t>provides an overview of estimated tax expenditures for the financial years covered by the estimated financial statements; and</w:t>
            </w:r>
          </w:p>
        </w:tc>
        <w:tc>
          <w:tcPr>
            <w:tcW w:w="3926" w:type="dxa"/>
            <w:shd w:val="clear" w:color="auto" w:fill="auto"/>
          </w:tcPr>
          <w:p w:rsidR="00F60B5F" w:rsidRPr="00DF427C" w:rsidRDefault="00F60B5F" w:rsidP="00333843">
            <w:pPr>
              <w:pStyle w:val="Tabletext"/>
              <w:ind w:left="0" w:firstLine="0"/>
            </w:pPr>
            <w:r w:rsidRPr="00EB4D3E">
              <w:t xml:space="preserve">Appendix C </w:t>
            </w:r>
            <w:r w:rsidRPr="00EB4D3E">
              <w:rPr>
                <w:i/>
              </w:rPr>
              <w:t>Tax</w:t>
            </w:r>
            <w:r w:rsidRPr="00DF427C">
              <w:rPr>
                <w:i/>
              </w:rPr>
              <w:t xml:space="preserve"> expenditures and concessions</w:t>
            </w:r>
          </w:p>
        </w:tc>
      </w:tr>
      <w:tr w:rsidR="00F60B5F" w:rsidRPr="00DF427C" w:rsidTr="003C6DA6">
        <w:tblPrEx>
          <w:tblCellMar>
            <w:left w:w="43" w:type="dxa"/>
            <w:right w:w="43" w:type="dxa"/>
          </w:tblCellMar>
        </w:tblPrEx>
        <w:tc>
          <w:tcPr>
            <w:tcW w:w="3928" w:type="dxa"/>
            <w:tcBorders>
              <w:bottom w:val="single" w:sz="12" w:space="0" w:color="auto"/>
            </w:tcBorders>
            <w:shd w:val="clear" w:color="auto" w:fill="auto"/>
          </w:tcPr>
          <w:p w:rsidR="00F60B5F" w:rsidRPr="00DF427C" w:rsidRDefault="00F60B5F" w:rsidP="00A360C4">
            <w:pPr>
              <w:pStyle w:val="Tabletext"/>
              <w:numPr>
                <w:ilvl w:val="0"/>
                <w:numId w:val="38"/>
              </w:numPr>
              <w:rPr>
                <w:rFonts w:cs="Garamond"/>
              </w:rPr>
            </w:pPr>
            <w:r w:rsidRPr="00DF427C">
              <w:rPr>
                <w:rFonts w:cs="Garamond"/>
              </w:rPr>
              <w:t>provides a statement of the risks that may have a material effect on the estimated financial statements.</w:t>
            </w:r>
          </w:p>
        </w:tc>
        <w:tc>
          <w:tcPr>
            <w:tcW w:w="3926" w:type="dxa"/>
            <w:tcBorders>
              <w:bottom w:val="single" w:sz="12" w:space="0" w:color="auto"/>
            </w:tcBorders>
            <w:shd w:val="clear" w:color="auto" w:fill="auto"/>
          </w:tcPr>
          <w:p w:rsidR="00F60B5F" w:rsidRPr="00DF427C" w:rsidRDefault="00F60B5F" w:rsidP="00DB0090">
            <w:pPr>
              <w:pStyle w:val="Tabletext"/>
              <w:ind w:left="0" w:firstLine="0"/>
            </w:pPr>
            <w:r w:rsidRPr="00EB4D3E">
              <w:t xml:space="preserve">Chapter 2 </w:t>
            </w:r>
            <w:r w:rsidRPr="00EB4D3E">
              <w:rPr>
                <w:i/>
              </w:rPr>
              <w:t>Economic context</w:t>
            </w:r>
            <w:r w:rsidRPr="00EB4D3E">
              <w:t xml:space="preserve">; Chapter 3 </w:t>
            </w:r>
            <w:r w:rsidRPr="00EB4D3E">
              <w:rPr>
                <w:i/>
              </w:rPr>
              <w:t>Budget position and outlook</w:t>
            </w:r>
            <w:r w:rsidRPr="00EB4D3E">
              <w:t>; and Chapter 7</w:t>
            </w:r>
            <w:r w:rsidRPr="00DF427C">
              <w:t xml:space="preserve"> </w:t>
            </w:r>
            <w:r w:rsidRPr="00DF427C">
              <w:rPr>
                <w:i/>
              </w:rPr>
              <w:t>Contingent assets and contingent liabilities</w:t>
            </w:r>
          </w:p>
        </w:tc>
      </w:tr>
    </w:tbl>
    <w:p w:rsidR="00F60B5F" w:rsidRDefault="00F60B5F" w:rsidP="000738DA"/>
    <w:p w:rsidR="00F60B5F" w:rsidRDefault="00F60B5F" w:rsidP="000738DA"/>
    <w:p w:rsidR="00F60B5F" w:rsidRDefault="00F60B5F" w:rsidP="00856AFF"/>
    <w:p w:rsidR="00F60B5F" w:rsidRDefault="00F60B5F" w:rsidP="00856AFF">
      <w:pPr>
        <w:sectPr w:rsidR="00F60B5F" w:rsidSect="006C00BC">
          <w:footerReference w:type="even" r:id="rId45"/>
          <w:footerReference w:type="default" r:id="rId46"/>
          <w:type w:val="oddPage"/>
          <w:pgSz w:w="9979" w:h="14181" w:code="138"/>
          <w:pgMar w:top="1138" w:right="1138" w:bottom="1138" w:left="1138" w:header="720" w:footer="720" w:gutter="0"/>
          <w:cols w:space="708"/>
          <w:docGrid w:linePitch="360"/>
        </w:sectPr>
      </w:pPr>
    </w:p>
    <w:p w:rsidR="00F60B5F" w:rsidRDefault="00F60B5F" w:rsidP="00E151EA">
      <w:pPr>
        <w:pStyle w:val="ChapterHeading"/>
      </w:pPr>
      <w:bookmarkStart w:id="74" w:name="_Toc355372039"/>
      <w:bookmarkStart w:id="75" w:name="_Toc374373981"/>
      <w:r>
        <w:t>Style conventions</w:t>
      </w:r>
      <w:bookmarkEnd w:id="74"/>
      <w:bookmarkEnd w:id="75"/>
    </w:p>
    <w:p w:rsidR="00F60B5F" w:rsidRPr="00EA50A2" w:rsidRDefault="00F60B5F" w:rsidP="00EA50A2">
      <w:r w:rsidRPr="00EA50A2">
        <w:t>Figures in the tables and in the text have been rounded. Discrepancies in tables between totals and sums of components reflect rounding. Percentage changes in all tables are based on the underlying unrounded amounts.</w:t>
      </w:r>
    </w:p>
    <w:p w:rsidR="00F60B5F" w:rsidRPr="00EA50A2" w:rsidRDefault="00F60B5F" w:rsidP="00EA50A2">
      <w:r w:rsidRPr="00EA50A2">
        <w:t>The notation used in the tables and charts is as follows:</w:t>
      </w:r>
    </w:p>
    <w:p w:rsidR="00F60B5F" w:rsidRPr="00EA50A2" w:rsidRDefault="00F60B5F" w:rsidP="00FC34FA">
      <w:pPr>
        <w:tabs>
          <w:tab w:val="left" w:pos="2520"/>
        </w:tabs>
        <w:ind w:left="720"/>
      </w:pPr>
      <w:r w:rsidRPr="00EA50A2">
        <w:t>LHS</w:t>
      </w:r>
      <w:r w:rsidRPr="00EA50A2">
        <w:tab/>
        <w:t>left</w:t>
      </w:r>
      <w:r>
        <w:noBreakHyphen/>
      </w:r>
      <w:r w:rsidRPr="00EA50A2">
        <w:t>hand</w:t>
      </w:r>
      <w:r>
        <w:noBreakHyphen/>
      </w:r>
      <w:r w:rsidRPr="00EA50A2">
        <w:t>side</w:t>
      </w:r>
    </w:p>
    <w:p w:rsidR="00F60B5F" w:rsidRPr="00EA50A2" w:rsidRDefault="00F60B5F" w:rsidP="00FC34FA">
      <w:pPr>
        <w:tabs>
          <w:tab w:val="left" w:pos="2520"/>
        </w:tabs>
        <w:ind w:left="720"/>
      </w:pPr>
      <w:r w:rsidRPr="00EA50A2">
        <w:t>RHS</w:t>
      </w:r>
      <w:r w:rsidRPr="00EA50A2">
        <w:tab/>
        <w:t>right</w:t>
      </w:r>
      <w:r>
        <w:noBreakHyphen/>
      </w:r>
      <w:r w:rsidRPr="00EA50A2">
        <w:t>hand</w:t>
      </w:r>
      <w:r>
        <w:noBreakHyphen/>
      </w:r>
      <w:r w:rsidRPr="00EA50A2">
        <w:t>side</w:t>
      </w:r>
    </w:p>
    <w:p w:rsidR="00F60B5F" w:rsidRPr="00EA50A2" w:rsidRDefault="00F60B5F" w:rsidP="00FC34FA">
      <w:pPr>
        <w:tabs>
          <w:tab w:val="left" w:pos="2520"/>
        </w:tabs>
        <w:ind w:left="720"/>
      </w:pPr>
      <w:r w:rsidRPr="00EA50A2">
        <w:t>na</w:t>
      </w:r>
      <w:r w:rsidRPr="00EA50A2">
        <w:tab/>
        <w:t>not available or not applicable</w:t>
      </w:r>
    </w:p>
    <w:p w:rsidR="00F60B5F" w:rsidRPr="00EA50A2" w:rsidRDefault="00F60B5F" w:rsidP="00FC34FA">
      <w:pPr>
        <w:tabs>
          <w:tab w:val="left" w:pos="2520"/>
        </w:tabs>
        <w:ind w:left="720"/>
      </w:pPr>
      <w:r w:rsidRPr="00EA50A2">
        <w:t>Cat. No.</w:t>
      </w:r>
      <w:r w:rsidRPr="00EA50A2">
        <w:tab/>
        <w:t>catalogue number</w:t>
      </w:r>
    </w:p>
    <w:p w:rsidR="00F60B5F" w:rsidRPr="00EA50A2" w:rsidRDefault="00F60B5F" w:rsidP="00FC34FA">
      <w:pPr>
        <w:tabs>
          <w:tab w:val="left" w:pos="2520"/>
        </w:tabs>
        <w:ind w:left="720"/>
      </w:pPr>
      <w:r w:rsidRPr="00EA50A2">
        <w:t>1</w:t>
      </w:r>
      <w:r>
        <w:t> billion</w:t>
      </w:r>
      <w:r w:rsidRPr="00EA50A2">
        <w:tab/>
        <w:t>1 000</w:t>
      </w:r>
      <w:r>
        <w:t> million</w:t>
      </w:r>
    </w:p>
    <w:p w:rsidR="00F60B5F" w:rsidRPr="00EA50A2" w:rsidRDefault="00F60B5F" w:rsidP="00FC34FA">
      <w:pPr>
        <w:tabs>
          <w:tab w:val="left" w:pos="2520"/>
        </w:tabs>
        <w:ind w:left="720"/>
      </w:pPr>
      <w:r w:rsidRPr="00EA50A2">
        <w:t>1 basis point</w:t>
      </w:r>
      <w:r w:rsidRPr="00EA50A2">
        <w:tab/>
        <w:t>0.01</w:t>
      </w:r>
      <w:r>
        <w:t> per cent</w:t>
      </w:r>
    </w:p>
    <w:p w:rsidR="00F60B5F" w:rsidRPr="00EA50A2" w:rsidRDefault="00F60B5F" w:rsidP="00FC34FA">
      <w:pPr>
        <w:tabs>
          <w:tab w:val="left" w:pos="2520"/>
        </w:tabs>
        <w:ind w:left="720"/>
      </w:pPr>
      <w:r w:rsidRPr="00EA50A2">
        <w:t>nm</w:t>
      </w:r>
      <w:r w:rsidRPr="00EA50A2">
        <w:tab/>
        <w:t>new measure</w:t>
      </w:r>
    </w:p>
    <w:p w:rsidR="00F60B5F" w:rsidRPr="00EA50A2" w:rsidRDefault="00F60B5F" w:rsidP="00FC34FA">
      <w:pPr>
        <w:tabs>
          <w:tab w:val="left" w:pos="2520"/>
        </w:tabs>
        <w:ind w:left="720"/>
      </w:pPr>
      <w:r w:rsidRPr="00EA50A2">
        <w:t>..</w:t>
      </w:r>
      <w:r w:rsidRPr="00EA50A2">
        <w:tab/>
        <w:t>zero, or rounded to zero</w:t>
      </w:r>
    </w:p>
    <w:p w:rsidR="00F60B5F" w:rsidRPr="00EA50A2" w:rsidRDefault="00F60B5F" w:rsidP="00FC34FA">
      <w:pPr>
        <w:tabs>
          <w:tab w:val="left" w:pos="2520"/>
        </w:tabs>
        <w:ind w:left="720"/>
      </w:pPr>
      <w:r w:rsidRPr="00EA50A2">
        <w:t>tbd</w:t>
      </w:r>
      <w:r w:rsidRPr="00EA50A2">
        <w:tab/>
        <w:t>to be determined</w:t>
      </w:r>
    </w:p>
    <w:p w:rsidR="00F60B5F" w:rsidRPr="00EA50A2" w:rsidRDefault="00F60B5F" w:rsidP="00FC34FA">
      <w:pPr>
        <w:tabs>
          <w:tab w:val="left" w:pos="2520"/>
        </w:tabs>
        <w:ind w:left="720"/>
      </w:pPr>
      <w:r w:rsidRPr="00EA50A2">
        <w:t>ongoing</w:t>
      </w:r>
      <w:r w:rsidRPr="00EA50A2">
        <w:tab/>
        <w:t>continuing output, program, project etc</w:t>
      </w:r>
    </w:p>
    <w:p w:rsidR="00F60B5F" w:rsidRPr="00EA50A2" w:rsidRDefault="00F60B5F" w:rsidP="00FC34FA">
      <w:pPr>
        <w:tabs>
          <w:tab w:val="left" w:pos="2520"/>
        </w:tabs>
        <w:ind w:left="720"/>
      </w:pPr>
      <w:r w:rsidRPr="00EA50A2">
        <w:t>(xxx.x)</w:t>
      </w:r>
      <w:r w:rsidRPr="00EA50A2">
        <w:tab/>
        <w:t>negative numbers</w:t>
      </w:r>
    </w:p>
    <w:p w:rsidR="00F60B5F" w:rsidRDefault="00F60B5F" w:rsidP="005954E5"/>
    <w:p w:rsidR="00F60B5F" w:rsidRDefault="00F60B5F" w:rsidP="005954E5">
      <w:r>
        <w:br w:type="page"/>
      </w:r>
    </w:p>
    <w:p w:rsidR="00F60B5F" w:rsidRPr="003400C3" w:rsidRDefault="00F60B5F" w:rsidP="00497D35">
      <w:pPr>
        <w:spacing w:after="0"/>
      </w:pPr>
    </w:p>
    <w:sectPr w:rsidR="00F60B5F" w:rsidRPr="003400C3" w:rsidSect="00C97E08">
      <w:headerReference w:type="even" r:id="rId47"/>
      <w:headerReference w:type="default" r:id="rId48"/>
      <w:footerReference w:type="even" r:id="rId49"/>
      <w:footerReference w:type="default" r:id="rId50"/>
      <w:headerReference w:type="first" r:id="rId51"/>
      <w:footerReference w:type="first" r:id="rId52"/>
      <w:type w:val="oddPage"/>
      <w:pgSz w:w="9979" w:h="14181" w:code="138"/>
      <w:pgMar w:top="1138" w:right="1138" w:bottom="1138" w:left="113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6C02">
      <w:pPr>
        <w:spacing w:after="0"/>
      </w:pPr>
      <w:r>
        <w:separator/>
      </w:r>
    </w:p>
  </w:endnote>
  <w:endnote w:type="continuationSeparator" w:id="0">
    <w:p w:rsidR="00000000" w:rsidRDefault="005B6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vantGarde Bk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Pr="003400C3" w:rsidRDefault="00547E3B" w:rsidP="003400C3">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Chapter 3</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31</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38</w:t>
    </w:r>
    <w:r>
      <w:rPr>
        <w:rStyle w:val="PageNumber"/>
      </w:rPr>
      <w:fldChar w:fldCharType="end"/>
    </w:r>
    <w:r>
      <w:tab/>
      <w:t>Chapter 3</w:t>
    </w:r>
    <w:r>
      <w:tab/>
      <w:t>2013</w:t>
    </w:r>
    <w:r w:rsidR="009F58D6">
      <w:noBreakHyphen/>
    </w:r>
    <w:r>
      <w:t>14 Budget Update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Chapter 3</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37</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52</w:t>
    </w:r>
    <w:r>
      <w:rPr>
        <w:rStyle w:val="PageNumber"/>
      </w:rPr>
      <w:fldChar w:fldCharType="end"/>
    </w:r>
    <w:r>
      <w:tab/>
      <w:t>Chapter 4</w:t>
    </w:r>
    <w:r>
      <w:tab/>
      <w:t>2013</w:t>
    </w:r>
    <w:r w:rsidR="009F58D6">
      <w:noBreakHyphen/>
    </w:r>
    <w:r>
      <w:t>14 Budget Update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Chapter 4</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51</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60</w:t>
    </w:r>
    <w:r>
      <w:rPr>
        <w:rStyle w:val="PageNumber"/>
      </w:rPr>
      <w:fldChar w:fldCharType="end"/>
    </w:r>
    <w:r>
      <w:tab/>
      <w:t>Chapter 5</w:t>
    </w:r>
    <w:r>
      <w:tab/>
      <w:t>2013</w:t>
    </w:r>
    <w:r w:rsidR="009F58D6">
      <w:noBreakHyphen/>
    </w:r>
    <w:r>
      <w:t>14 Budget Update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Chapter 5</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85</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120</w:t>
    </w:r>
    <w:r>
      <w:rPr>
        <w:rStyle w:val="PageNumber"/>
      </w:rPr>
      <w:fldChar w:fldCharType="end"/>
    </w:r>
    <w:r>
      <w:tab/>
      <w:t>Chapter 6</w:t>
    </w:r>
    <w:r>
      <w:tab/>
      <w:t>2013</w:t>
    </w:r>
    <w:r w:rsidR="009F58D6">
      <w:noBreakHyphen/>
    </w:r>
    <w:r>
      <w:t>14 Budget Update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Chapter 6</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119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Pr="003400C3" w:rsidRDefault="00547E3B" w:rsidP="003400C3">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128</w:t>
    </w:r>
    <w:r>
      <w:rPr>
        <w:rStyle w:val="PageNumber"/>
      </w:rPr>
      <w:fldChar w:fldCharType="end"/>
    </w:r>
    <w:r>
      <w:tab/>
      <w:t>Chapter 7</w:t>
    </w:r>
    <w:r>
      <w:tab/>
      <w:t>2013</w:t>
    </w:r>
    <w:r w:rsidR="009F58D6">
      <w:noBreakHyphen/>
    </w:r>
    <w:r>
      <w:t>14 Budget Update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Chapter 7</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127</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136</w:t>
    </w:r>
    <w:r>
      <w:rPr>
        <w:rStyle w:val="PageNumber"/>
      </w:rPr>
      <w:fldChar w:fldCharType="end"/>
    </w:r>
    <w:r>
      <w:tab/>
      <w:t>Appendix A</w:t>
    </w:r>
    <w:r>
      <w:tab/>
      <w:t>2013</w:t>
    </w:r>
    <w:r w:rsidR="009F58D6">
      <w:noBreakHyphen/>
    </w:r>
    <w:r>
      <w:t>14 Budget Update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Appendix A</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135</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138</w:t>
    </w:r>
    <w:r>
      <w:rPr>
        <w:rStyle w:val="PageNumber"/>
      </w:rPr>
      <w:fldChar w:fldCharType="end"/>
    </w:r>
    <w:r>
      <w:tab/>
      <w:t>Appendix B</w:t>
    </w:r>
    <w:r>
      <w:tab/>
      <w:t>2013</w:t>
    </w:r>
    <w:r w:rsidR="009F58D6">
      <w:noBreakHyphen/>
    </w:r>
    <w:r>
      <w:t>14 Budget Update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Appendix B</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137</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140</w:t>
    </w:r>
    <w:r>
      <w:rPr>
        <w:rStyle w:val="PageNumber"/>
      </w:rPr>
      <w:fldChar w:fldCharType="end"/>
    </w:r>
    <w:r>
      <w:tab/>
      <w:t>Appendix C</w:t>
    </w:r>
    <w:r>
      <w:tab/>
      <w:t>2013</w:t>
    </w:r>
    <w:r w:rsidR="009F58D6">
      <w:noBreakHyphen/>
    </w:r>
    <w:r>
      <w:t>14 Budget Update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Appendix C</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139</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1F6EBF">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148</w:t>
    </w:r>
    <w:r>
      <w:rPr>
        <w:rStyle w:val="PageNumber"/>
      </w:rPr>
      <w:fldChar w:fldCharType="end"/>
    </w:r>
    <w:r>
      <w:tab/>
      <w:t>Appendix D</w:t>
    </w:r>
    <w:r>
      <w:tab/>
      <w:t>2013</w:t>
    </w:r>
    <w:r w:rsidR="009F58D6">
      <w:noBreakHyphen/>
    </w:r>
    <w:r>
      <w:t>14 Budget Update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Appendix D</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147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C3" w:rsidRDefault="003400C3" w:rsidP="003400C3">
    <w:pPr>
      <w:pStyle w:val="Footer"/>
      <w:pBdr>
        <w:top w:val="none" w:sz="0" w:space="0" w:color="auto"/>
      </w:pBd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ii</w:t>
    </w:r>
    <w:r>
      <w:rPr>
        <w:rStyle w:val="PageNumber"/>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150</w:t>
    </w:r>
    <w:r>
      <w:rPr>
        <w:rStyle w:val="PageNumber"/>
      </w:rPr>
      <w:fldChar w:fldCharType="end"/>
    </w:r>
    <w:r>
      <w:tab/>
      <w:t>Appendix E</w:t>
    </w:r>
    <w:r>
      <w:tab/>
      <w:t>2013</w:t>
    </w:r>
    <w:r w:rsidR="009F58D6">
      <w:noBreakHyphen/>
    </w:r>
    <w:r>
      <w:t>14 Budget Update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Appendix E</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149</w:t>
    </w:r>
    <w:r>
      <w:rPr>
        <w:rStyle w:val="PageNumber"/>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152</w:t>
    </w:r>
    <w:r>
      <w:rPr>
        <w:rStyle w:val="PageNumber"/>
      </w:rPr>
      <w:fldChar w:fldCharType="end"/>
    </w:r>
    <w:r>
      <w:tab/>
    </w:r>
    <w:r w:rsidR="001C5190">
      <w:t>Style conventions</w:t>
    </w:r>
    <w:r>
      <w:tab/>
      <w:t>20</w:t>
    </w:r>
    <w:r w:rsidR="001C5190">
      <w:t>13</w:t>
    </w:r>
    <w:r w:rsidR="001C5190">
      <w:noBreakHyphen/>
      <w:t>14</w:t>
    </w:r>
    <w:r>
      <w:t xml:space="preserve"> </w:t>
    </w:r>
    <w:r w:rsidR="001C5190">
      <w:t>Budget Update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1C5190" w:rsidP="00C97E08">
    <w:pPr>
      <w:pStyle w:val="Footer"/>
      <w:tabs>
        <w:tab w:val="clear" w:pos="7085"/>
        <w:tab w:val="center" w:pos="5103"/>
        <w:tab w:val="right" w:pos="7655"/>
      </w:tabs>
      <w:spacing w:after="0"/>
      <w:rPr>
        <w:rStyle w:val="PageNumber"/>
      </w:rPr>
    </w:pPr>
    <w:r>
      <w:t>2013</w:t>
    </w:r>
    <w:r>
      <w:noBreakHyphen/>
      <w:t>14 Budget Update</w:t>
    </w:r>
    <w:r w:rsidR="00547E3B">
      <w:tab/>
    </w:r>
    <w:r>
      <w:t>Style conventions</w:t>
    </w:r>
    <w:r w:rsidR="00547E3B">
      <w:tab/>
    </w:r>
    <w:r w:rsidR="00547E3B">
      <w:rPr>
        <w:rStyle w:val="PageNumber"/>
      </w:rPr>
      <w:fldChar w:fldCharType="begin"/>
    </w:r>
    <w:r w:rsidR="00547E3B">
      <w:rPr>
        <w:rStyle w:val="PageNumber"/>
      </w:rPr>
      <w:instrText xml:space="preserve"> PAGE </w:instrText>
    </w:r>
    <w:r w:rsidR="00547E3B">
      <w:rPr>
        <w:rStyle w:val="PageNumber"/>
      </w:rPr>
      <w:fldChar w:fldCharType="separate"/>
    </w:r>
    <w:r>
      <w:rPr>
        <w:rStyle w:val="PageNumber"/>
        <w:noProof/>
      </w:rPr>
      <w:t>151</w:t>
    </w:r>
    <w:r w:rsidR="00547E3B">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A0" w:rsidRDefault="005B6C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C3" w:rsidRDefault="003400C3" w:rsidP="003400C3">
    <w:pPr>
      <w:pStyle w:val="Footer"/>
      <w:pBdr>
        <w:top w:val="none" w:sz="0" w:space="0" w:color="auto"/>
      </w:pBdr>
      <w:tabs>
        <w:tab w:val="clear" w:pos="7085"/>
        <w:tab w:val="center" w:pos="4820"/>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C3" w:rsidRDefault="003400C3"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6</w:t>
    </w:r>
    <w:r>
      <w:rPr>
        <w:rStyle w:val="PageNumber"/>
      </w:rPr>
      <w:fldChar w:fldCharType="end"/>
    </w:r>
    <w:r>
      <w:rPr>
        <w:rStyle w:val="PageNumber"/>
      </w:rPr>
      <w:tab/>
      <w:t>Chapter 1</w:t>
    </w:r>
    <w:r>
      <w:rPr>
        <w:rStyle w:val="PageNumber"/>
      </w:rPr>
      <w:tab/>
      <w:t>2013</w:t>
    </w:r>
    <w:r w:rsidR="009F58D6">
      <w:rPr>
        <w:rStyle w:val="PageNumber"/>
      </w:rPr>
      <w:noBreakHyphen/>
    </w:r>
    <w:r>
      <w:rPr>
        <w:rStyle w:val="PageNumber"/>
      </w:rPr>
      <w:t>14 Budget Update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C3" w:rsidRDefault="003400C3" w:rsidP="00C97E08">
    <w:pPr>
      <w:pStyle w:val="Footer"/>
      <w:tabs>
        <w:tab w:val="clear" w:pos="7085"/>
        <w:tab w:val="center" w:pos="4820"/>
        <w:tab w:val="right" w:pos="7655"/>
      </w:tabs>
      <w:spacing w:after="0"/>
      <w:rPr>
        <w:rStyle w:val="PageNumber"/>
      </w:rPr>
    </w:pPr>
    <w:r>
      <w:rPr>
        <w:rStyle w:val="PageNumber"/>
      </w:rPr>
      <w:t>2013</w:t>
    </w:r>
    <w:r w:rsidR="009F58D6">
      <w:rPr>
        <w:rStyle w:val="PageNumber"/>
      </w:rPr>
      <w:noBreakHyphen/>
    </w:r>
    <w:r>
      <w:rPr>
        <w:rStyle w:val="PageNumber"/>
      </w:rPr>
      <w:t>14 Budget Update</w:t>
    </w:r>
    <w:r>
      <w:rPr>
        <w:rStyle w:val="PageNumber"/>
      </w:rPr>
      <w:tab/>
      <w:t>Chapter 1</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5</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8</w:t>
    </w:r>
    <w:r>
      <w:rPr>
        <w:rStyle w:val="PageNumber"/>
      </w:rPr>
      <w:fldChar w:fldCharType="end"/>
    </w:r>
    <w:r>
      <w:tab/>
      <w:t>Chapter 2</w:t>
    </w:r>
    <w:r>
      <w:tab/>
      <w:t>2013</w:t>
    </w:r>
    <w:r w:rsidR="009F58D6">
      <w:noBreakHyphen/>
    </w:r>
    <w:r>
      <w:t>14 Budget Update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5103"/>
        <w:tab w:val="right" w:pos="7655"/>
      </w:tabs>
      <w:spacing w:after="0"/>
      <w:rPr>
        <w:rStyle w:val="PageNumber"/>
      </w:rPr>
    </w:pPr>
    <w:r>
      <w:t>2013</w:t>
    </w:r>
    <w:r w:rsidR="009F58D6">
      <w:noBreakHyphen/>
    </w:r>
    <w:r>
      <w:t>14 Budget Update</w:t>
    </w:r>
    <w:r>
      <w:tab/>
      <w:t>Chapter 2</w:t>
    </w:r>
    <w:r>
      <w:tab/>
    </w: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7</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C5190">
      <w:rPr>
        <w:rStyle w:val="PageNumber"/>
        <w:noProof/>
      </w:rPr>
      <w:t>30</w:t>
    </w:r>
    <w:r>
      <w:rPr>
        <w:rStyle w:val="PageNumber"/>
      </w:rPr>
      <w:fldChar w:fldCharType="end"/>
    </w:r>
    <w:r>
      <w:tab/>
      <w:t>Chapter 3</w:t>
    </w:r>
    <w:r>
      <w:tab/>
      <w:t>2013</w:t>
    </w:r>
    <w:r w:rsidR="009F58D6">
      <w:noBreakHyphen/>
    </w:r>
    <w:r>
      <w:t>14 Budget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6C02">
      <w:pPr>
        <w:spacing w:after="0"/>
      </w:pPr>
      <w:r>
        <w:separator/>
      </w:r>
    </w:p>
  </w:footnote>
  <w:footnote w:type="continuationSeparator" w:id="0">
    <w:p w:rsidR="00000000" w:rsidRDefault="005B6C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FF" w:rsidRDefault="00856A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A0" w:rsidRDefault="005B6C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A0" w:rsidRDefault="005B6C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A0" w:rsidRDefault="005B6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7261B3B"/>
    <w:multiLevelType w:val="hybridMultilevel"/>
    <w:tmpl w:val="99364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nsid w:val="3507085B"/>
    <w:multiLevelType w:val="hybridMultilevel"/>
    <w:tmpl w:val="3CF864B4"/>
    <w:lvl w:ilvl="0" w:tplc="3334DDE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D720E4A"/>
    <w:multiLevelType w:val="hybridMultilevel"/>
    <w:tmpl w:val="CE40E2A0"/>
    <w:lvl w:ilvl="0" w:tplc="57EEC964">
      <w:start w:val="1"/>
      <w:numFmt w:val="bullet"/>
      <w:lvlText w:val="–"/>
      <w:lvlJc w:val="left"/>
      <w:pPr>
        <w:tabs>
          <w:tab w:val="num" w:pos="360"/>
        </w:tabs>
        <w:ind w:left="360" w:hanging="360"/>
      </w:pPr>
      <w:rPr>
        <w:rFonts w:ascii="AvantGarde Bk BT" w:hAnsi="AvantGarde Bk BT" w:hint="default"/>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2">
    <w:nsid w:val="5BFE6EC8"/>
    <w:multiLevelType w:val="hybridMultilevel"/>
    <w:tmpl w:val="5A90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4">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7"/>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5"/>
  </w:num>
  <w:num w:numId="16">
    <w:abstractNumId w:val="31"/>
  </w:num>
  <w:num w:numId="17">
    <w:abstractNumId w:val="29"/>
  </w:num>
  <w:num w:numId="18">
    <w:abstractNumId w:val="11"/>
  </w:num>
  <w:num w:numId="19">
    <w:abstractNumId w:val="34"/>
  </w:num>
  <w:num w:numId="20">
    <w:abstractNumId w:val="17"/>
  </w:num>
  <w:num w:numId="21">
    <w:abstractNumId w:val="35"/>
  </w:num>
  <w:num w:numId="22">
    <w:abstractNumId w:val="12"/>
  </w:num>
  <w:num w:numId="23">
    <w:abstractNumId w:val="36"/>
  </w:num>
  <w:num w:numId="24">
    <w:abstractNumId w:val="18"/>
  </w:num>
  <w:num w:numId="25">
    <w:abstractNumId w:val="22"/>
  </w:num>
  <w:num w:numId="26">
    <w:abstractNumId w:val="16"/>
  </w:num>
  <w:num w:numId="27">
    <w:abstractNumId w:val="27"/>
  </w:num>
  <w:num w:numId="28">
    <w:abstractNumId w:val="13"/>
  </w:num>
  <w:num w:numId="29">
    <w:abstractNumId w:val="25"/>
  </w:num>
  <w:num w:numId="30">
    <w:abstractNumId w:val="21"/>
  </w:num>
  <w:num w:numId="31">
    <w:abstractNumId w:val="28"/>
  </w:num>
  <w:num w:numId="32">
    <w:abstractNumId w:val="30"/>
  </w:num>
  <w:num w:numId="33">
    <w:abstractNumId w:val="24"/>
  </w:num>
  <w:num w:numId="34">
    <w:abstractNumId w:val="14"/>
  </w:num>
  <w:num w:numId="35">
    <w:abstractNumId w:val="23"/>
  </w:num>
  <w:num w:numId="36">
    <w:abstractNumId w:val="20"/>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C3"/>
    <w:rsid w:val="00006F06"/>
    <w:rsid w:val="00020E91"/>
    <w:rsid w:val="00021CE5"/>
    <w:rsid w:val="000221B3"/>
    <w:rsid w:val="00031488"/>
    <w:rsid w:val="00035734"/>
    <w:rsid w:val="000362EA"/>
    <w:rsid w:val="00041292"/>
    <w:rsid w:val="00043F9F"/>
    <w:rsid w:val="000451B1"/>
    <w:rsid w:val="00050885"/>
    <w:rsid w:val="00056F1F"/>
    <w:rsid w:val="00060942"/>
    <w:rsid w:val="00061F50"/>
    <w:rsid w:val="00064FD8"/>
    <w:rsid w:val="000771C1"/>
    <w:rsid w:val="000804F8"/>
    <w:rsid w:val="000868E5"/>
    <w:rsid w:val="000925EA"/>
    <w:rsid w:val="00093898"/>
    <w:rsid w:val="000A48A1"/>
    <w:rsid w:val="000A5321"/>
    <w:rsid w:val="000B1105"/>
    <w:rsid w:val="000B12EE"/>
    <w:rsid w:val="000B1B53"/>
    <w:rsid w:val="000B2895"/>
    <w:rsid w:val="000B394D"/>
    <w:rsid w:val="000C1027"/>
    <w:rsid w:val="000C18E1"/>
    <w:rsid w:val="000D652A"/>
    <w:rsid w:val="000E725D"/>
    <w:rsid w:val="000F509B"/>
    <w:rsid w:val="00100FCC"/>
    <w:rsid w:val="00130570"/>
    <w:rsid w:val="001368DE"/>
    <w:rsid w:val="00140C5B"/>
    <w:rsid w:val="00150C34"/>
    <w:rsid w:val="00154535"/>
    <w:rsid w:val="0015668D"/>
    <w:rsid w:val="0016459F"/>
    <w:rsid w:val="00170A52"/>
    <w:rsid w:val="00176CD6"/>
    <w:rsid w:val="0017767A"/>
    <w:rsid w:val="00185277"/>
    <w:rsid w:val="001856DE"/>
    <w:rsid w:val="001C0D0F"/>
    <w:rsid w:val="001C1EAD"/>
    <w:rsid w:val="001C2F60"/>
    <w:rsid w:val="001C5190"/>
    <w:rsid w:val="001C6D0D"/>
    <w:rsid w:val="001D18E7"/>
    <w:rsid w:val="001E15F3"/>
    <w:rsid w:val="001F3DDD"/>
    <w:rsid w:val="001F4F89"/>
    <w:rsid w:val="0020013B"/>
    <w:rsid w:val="00225DCD"/>
    <w:rsid w:val="0023358D"/>
    <w:rsid w:val="00234682"/>
    <w:rsid w:val="00240744"/>
    <w:rsid w:val="00245DCF"/>
    <w:rsid w:val="0025606D"/>
    <w:rsid w:val="002733B3"/>
    <w:rsid w:val="00282839"/>
    <w:rsid w:val="002B15CD"/>
    <w:rsid w:val="002B5189"/>
    <w:rsid w:val="002C04C2"/>
    <w:rsid w:val="002C1C0D"/>
    <w:rsid w:val="002D0C50"/>
    <w:rsid w:val="002D4189"/>
    <w:rsid w:val="002D7692"/>
    <w:rsid w:val="002E0D69"/>
    <w:rsid w:val="002E31A2"/>
    <w:rsid w:val="002E5C62"/>
    <w:rsid w:val="002F3CB5"/>
    <w:rsid w:val="003010A2"/>
    <w:rsid w:val="00302525"/>
    <w:rsid w:val="00321815"/>
    <w:rsid w:val="00322573"/>
    <w:rsid w:val="00322DD7"/>
    <w:rsid w:val="003233E0"/>
    <w:rsid w:val="00325506"/>
    <w:rsid w:val="003259E9"/>
    <w:rsid w:val="0032698D"/>
    <w:rsid w:val="0033005B"/>
    <w:rsid w:val="003352CE"/>
    <w:rsid w:val="003400C3"/>
    <w:rsid w:val="00341734"/>
    <w:rsid w:val="00341E1B"/>
    <w:rsid w:val="00342ECD"/>
    <w:rsid w:val="00346956"/>
    <w:rsid w:val="00346AFE"/>
    <w:rsid w:val="003511F8"/>
    <w:rsid w:val="003553FF"/>
    <w:rsid w:val="003568EB"/>
    <w:rsid w:val="00364C8B"/>
    <w:rsid w:val="00366701"/>
    <w:rsid w:val="0036725D"/>
    <w:rsid w:val="003723BD"/>
    <w:rsid w:val="003819A4"/>
    <w:rsid w:val="00382EC5"/>
    <w:rsid w:val="003926C8"/>
    <w:rsid w:val="0039472C"/>
    <w:rsid w:val="0039576F"/>
    <w:rsid w:val="00397F02"/>
    <w:rsid w:val="003C0422"/>
    <w:rsid w:val="003C2F48"/>
    <w:rsid w:val="003C3AAE"/>
    <w:rsid w:val="003E2EE8"/>
    <w:rsid w:val="003E31E5"/>
    <w:rsid w:val="003E5374"/>
    <w:rsid w:val="003E5F71"/>
    <w:rsid w:val="003F15E7"/>
    <w:rsid w:val="003F4955"/>
    <w:rsid w:val="00402B50"/>
    <w:rsid w:val="004046AE"/>
    <w:rsid w:val="00406F75"/>
    <w:rsid w:val="00411AEE"/>
    <w:rsid w:val="00412BC0"/>
    <w:rsid w:val="004274F6"/>
    <w:rsid w:val="00437861"/>
    <w:rsid w:val="004404E0"/>
    <w:rsid w:val="00446F20"/>
    <w:rsid w:val="00450DA2"/>
    <w:rsid w:val="00455F51"/>
    <w:rsid w:val="00465985"/>
    <w:rsid w:val="0046648A"/>
    <w:rsid w:val="0046774A"/>
    <w:rsid w:val="00472150"/>
    <w:rsid w:val="0047243E"/>
    <w:rsid w:val="00480ADD"/>
    <w:rsid w:val="004828FB"/>
    <w:rsid w:val="004853CD"/>
    <w:rsid w:val="00485CB3"/>
    <w:rsid w:val="00492D93"/>
    <w:rsid w:val="00497606"/>
    <w:rsid w:val="00497D35"/>
    <w:rsid w:val="004C08B1"/>
    <w:rsid w:val="004C3F0D"/>
    <w:rsid w:val="004C654C"/>
    <w:rsid w:val="004C767D"/>
    <w:rsid w:val="004D2300"/>
    <w:rsid w:val="004D392F"/>
    <w:rsid w:val="004D3DE7"/>
    <w:rsid w:val="004D4B21"/>
    <w:rsid w:val="004F0906"/>
    <w:rsid w:val="004F1592"/>
    <w:rsid w:val="004F6EFF"/>
    <w:rsid w:val="004F779D"/>
    <w:rsid w:val="00503A10"/>
    <w:rsid w:val="005040D7"/>
    <w:rsid w:val="0050487A"/>
    <w:rsid w:val="0050690B"/>
    <w:rsid w:val="0051195C"/>
    <w:rsid w:val="005142C4"/>
    <w:rsid w:val="00515C51"/>
    <w:rsid w:val="00522994"/>
    <w:rsid w:val="00531A3D"/>
    <w:rsid w:val="00533108"/>
    <w:rsid w:val="005429ED"/>
    <w:rsid w:val="00545CA0"/>
    <w:rsid w:val="00547E3B"/>
    <w:rsid w:val="005542A9"/>
    <w:rsid w:val="005552E0"/>
    <w:rsid w:val="00561253"/>
    <w:rsid w:val="005659B1"/>
    <w:rsid w:val="00571E1E"/>
    <w:rsid w:val="00572DD3"/>
    <w:rsid w:val="00576FDF"/>
    <w:rsid w:val="00595530"/>
    <w:rsid w:val="00597626"/>
    <w:rsid w:val="005A0574"/>
    <w:rsid w:val="005A6362"/>
    <w:rsid w:val="005A6BE2"/>
    <w:rsid w:val="005A6FB4"/>
    <w:rsid w:val="005B2863"/>
    <w:rsid w:val="005B41A8"/>
    <w:rsid w:val="005B54F2"/>
    <w:rsid w:val="005B6C02"/>
    <w:rsid w:val="005C1363"/>
    <w:rsid w:val="005C361B"/>
    <w:rsid w:val="005C751E"/>
    <w:rsid w:val="005C7712"/>
    <w:rsid w:val="005D65C9"/>
    <w:rsid w:val="005D67FF"/>
    <w:rsid w:val="005D76F8"/>
    <w:rsid w:val="005D78C9"/>
    <w:rsid w:val="005E0AA3"/>
    <w:rsid w:val="005E17AB"/>
    <w:rsid w:val="005E5FCA"/>
    <w:rsid w:val="005E7286"/>
    <w:rsid w:val="00602BE7"/>
    <w:rsid w:val="00605F2A"/>
    <w:rsid w:val="0060685C"/>
    <w:rsid w:val="00606A43"/>
    <w:rsid w:val="0061455E"/>
    <w:rsid w:val="00617A34"/>
    <w:rsid w:val="006306E9"/>
    <w:rsid w:val="00635546"/>
    <w:rsid w:val="00641E21"/>
    <w:rsid w:val="00642BF1"/>
    <w:rsid w:val="00643DF9"/>
    <w:rsid w:val="00654E77"/>
    <w:rsid w:val="006560D9"/>
    <w:rsid w:val="006568CD"/>
    <w:rsid w:val="00666CB7"/>
    <w:rsid w:val="00667796"/>
    <w:rsid w:val="00674B54"/>
    <w:rsid w:val="00677E49"/>
    <w:rsid w:val="0068185C"/>
    <w:rsid w:val="006841B2"/>
    <w:rsid w:val="00686543"/>
    <w:rsid w:val="0068681D"/>
    <w:rsid w:val="006A6CEB"/>
    <w:rsid w:val="006A7B84"/>
    <w:rsid w:val="006B4753"/>
    <w:rsid w:val="006C00BC"/>
    <w:rsid w:val="006C5EC5"/>
    <w:rsid w:val="006D1E53"/>
    <w:rsid w:val="006F055E"/>
    <w:rsid w:val="00701445"/>
    <w:rsid w:val="00715BF1"/>
    <w:rsid w:val="007161C5"/>
    <w:rsid w:val="0071751D"/>
    <w:rsid w:val="00723CCF"/>
    <w:rsid w:val="00727CCA"/>
    <w:rsid w:val="007465D1"/>
    <w:rsid w:val="0076041D"/>
    <w:rsid w:val="00762943"/>
    <w:rsid w:val="007641DC"/>
    <w:rsid w:val="007703C5"/>
    <w:rsid w:val="00784E79"/>
    <w:rsid w:val="00784F64"/>
    <w:rsid w:val="00793367"/>
    <w:rsid w:val="007A1057"/>
    <w:rsid w:val="007B4258"/>
    <w:rsid w:val="007E3B0E"/>
    <w:rsid w:val="007F39AE"/>
    <w:rsid w:val="008047B2"/>
    <w:rsid w:val="0081669E"/>
    <w:rsid w:val="00825389"/>
    <w:rsid w:val="0082652B"/>
    <w:rsid w:val="0084045D"/>
    <w:rsid w:val="0084378E"/>
    <w:rsid w:val="00853954"/>
    <w:rsid w:val="00856AFF"/>
    <w:rsid w:val="00863D40"/>
    <w:rsid w:val="008659CB"/>
    <w:rsid w:val="0086685D"/>
    <w:rsid w:val="00867B50"/>
    <w:rsid w:val="00880B83"/>
    <w:rsid w:val="008827CA"/>
    <w:rsid w:val="00882953"/>
    <w:rsid w:val="008858A3"/>
    <w:rsid w:val="008871F8"/>
    <w:rsid w:val="00887B0B"/>
    <w:rsid w:val="00887F89"/>
    <w:rsid w:val="00891D05"/>
    <w:rsid w:val="008A0DCD"/>
    <w:rsid w:val="008A5FE9"/>
    <w:rsid w:val="008B0FFC"/>
    <w:rsid w:val="008C5612"/>
    <w:rsid w:val="008D484E"/>
    <w:rsid w:val="008E20C7"/>
    <w:rsid w:val="008E4C65"/>
    <w:rsid w:val="008E5024"/>
    <w:rsid w:val="008F0F55"/>
    <w:rsid w:val="008F60AE"/>
    <w:rsid w:val="00902A9D"/>
    <w:rsid w:val="00904A16"/>
    <w:rsid w:val="00910D2B"/>
    <w:rsid w:val="0091115C"/>
    <w:rsid w:val="009200FD"/>
    <w:rsid w:val="00931FBE"/>
    <w:rsid w:val="009331F3"/>
    <w:rsid w:val="00937B02"/>
    <w:rsid w:val="00946EF0"/>
    <w:rsid w:val="00950D83"/>
    <w:rsid w:val="00957917"/>
    <w:rsid w:val="0096304A"/>
    <w:rsid w:val="0097206F"/>
    <w:rsid w:val="009738E6"/>
    <w:rsid w:val="00973A41"/>
    <w:rsid w:val="0097680B"/>
    <w:rsid w:val="0098552F"/>
    <w:rsid w:val="00992E7A"/>
    <w:rsid w:val="00995570"/>
    <w:rsid w:val="009A2BC2"/>
    <w:rsid w:val="009A3179"/>
    <w:rsid w:val="009B04B7"/>
    <w:rsid w:val="009B25A6"/>
    <w:rsid w:val="009B7C82"/>
    <w:rsid w:val="009C05DD"/>
    <w:rsid w:val="009C5731"/>
    <w:rsid w:val="009D183F"/>
    <w:rsid w:val="009E4089"/>
    <w:rsid w:val="009E5D93"/>
    <w:rsid w:val="009F0A3E"/>
    <w:rsid w:val="009F0F12"/>
    <w:rsid w:val="009F58D6"/>
    <w:rsid w:val="00A0093C"/>
    <w:rsid w:val="00A02FA8"/>
    <w:rsid w:val="00A1268C"/>
    <w:rsid w:val="00A14E0E"/>
    <w:rsid w:val="00A16285"/>
    <w:rsid w:val="00A16406"/>
    <w:rsid w:val="00A21AF5"/>
    <w:rsid w:val="00A2357F"/>
    <w:rsid w:val="00A251B1"/>
    <w:rsid w:val="00A56CBA"/>
    <w:rsid w:val="00A576F6"/>
    <w:rsid w:val="00A57B48"/>
    <w:rsid w:val="00A71163"/>
    <w:rsid w:val="00A74AB1"/>
    <w:rsid w:val="00A74D09"/>
    <w:rsid w:val="00A759FE"/>
    <w:rsid w:val="00A805CA"/>
    <w:rsid w:val="00A831CC"/>
    <w:rsid w:val="00A93F82"/>
    <w:rsid w:val="00A96824"/>
    <w:rsid w:val="00AA0955"/>
    <w:rsid w:val="00AA1AEA"/>
    <w:rsid w:val="00AA5AD3"/>
    <w:rsid w:val="00AB125D"/>
    <w:rsid w:val="00AB2018"/>
    <w:rsid w:val="00AB2CC7"/>
    <w:rsid w:val="00AD7110"/>
    <w:rsid w:val="00B022A5"/>
    <w:rsid w:val="00B0624D"/>
    <w:rsid w:val="00B14F51"/>
    <w:rsid w:val="00B21FEB"/>
    <w:rsid w:val="00B27537"/>
    <w:rsid w:val="00B27782"/>
    <w:rsid w:val="00B37863"/>
    <w:rsid w:val="00B527F0"/>
    <w:rsid w:val="00B55816"/>
    <w:rsid w:val="00B56AF7"/>
    <w:rsid w:val="00B64A6A"/>
    <w:rsid w:val="00B72182"/>
    <w:rsid w:val="00B72576"/>
    <w:rsid w:val="00B73926"/>
    <w:rsid w:val="00B742AA"/>
    <w:rsid w:val="00B76343"/>
    <w:rsid w:val="00B80B4A"/>
    <w:rsid w:val="00B82D32"/>
    <w:rsid w:val="00B83B9F"/>
    <w:rsid w:val="00B847DA"/>
    <w:rsid w:val="00B9711B"/>
    <w:rsid w:val="00BA2418"/>
    <w:rsid w:val="00BB534C"/>
    <w:rsid w:val="00BC61E2"/>
    <w:rsid w:val="00BC6C2F"/>
    <w:rsid w:val="00BD0A5C"/>
    <w:rsid w:val="00BD364F"/>
    <w:rsid w:val="00BD7B65"/>
    <w:rsid w:val="00BE22AE"/>
    <w:rsid w:val="00BE4F6F"/>
    <w:rsid w:val="00BF2190"/>
    <w:rsid w:val="00BF3DAE"/>
    <w:rsid w:val="00BF6AF3"/>
    <w:rsid w:val="00BF7248"/>
    <w:rsid w:val="00C0011A"/>
    <w:rsid w:val="00C04DD7"/>
    <w:rsid w:val="00C05D16"/>
    <w:rsid w:val="00C05DC9"/>
    <w:rsid w:val="00C14A3C"/>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575D2"/>
    <w:rsid w:val="00C63B4E"/>
    <w:rsid w:val="00C65D14"/>
    <w:rsid w:val="00C72AF4"/>
    <w:rsid w:val="00C756E9"/>
    <w:rsid w:val="00C75B91"/>
    <w:rsid w:val="00C75D0E"/>
    <w:rsid w:val="00C7678A"/>
    <w:rsid w:val="00C9591C"/>
    <w:rsid w:val="00C97E08"/>
    <w:rsid w:val="00CB3778"/>
    <w:rsid w:val="00CB3C8A"/>
    <w:rsid w:val="00CB74FE"/>
    <w:rsid w:val="00CC2049"/>
    <w:rsid w:val="00CC3A34"/>
    <w:rsid w:val="00CC69F7"/>
    <w:rsid w:val="00CC73D9"/>
    <w:rsid w:val="00CD0577"/>
    <w:rsid w:val="00CF0F98"/>
    <w:rsid w:val="00CF132C"/>
    <w:rsid w:val="00CF25B1"/>
    <w:rsid w:val="00CF5FE1"/>
    <w:rsid w:val="00CF6838"/>
    <w:rsid w:val="00CF6AB4"/>
    <w:rsid w:val="00D0607A"/>
    <w:rsid w:val="00D10578"/>
    <w:rsid w:val="00D12B44"/>
    <w:rsid w:val="00D1521C"/>
    <w:rsid w:val="00D24C1E"/>
    <w:rsid w:val="00D24E4D"/>
    <w:rsid w:val="00D2588E"/>
    <w:rsid w:val="00D26C08"/>
    <w:rsid w:val="00D52B3F"/>
    <w:rsid w:val="00D5615F"/>
    <w:rsid w:val="00D56B84"/>
    <w:rsid w:val="00D646A9"/>
    <w:rsid w:val="00D67950"/>
    <w:rsid w:val="00D77470"/>
    <w:rsid w:val="00D95D7D"/>
    <w:rsid w:val="00DA0931"/>
    <w:rsid w:val="00DA4D63"/>
    <w:rsid w:val="00DA6CAB"/>
    <w:rsid w:val="00DB33FA"/>
    <w:rsid w:val="00DB3AF6"/>
    <w:rsid w:val="00DB716A"/>
    <w:rsid w:val="00DD79E9"/>
    <w:rsid w:val="00DE1D28"/>
    <w:rsid w:val="00DE3B1B"/>
    <w:rsid w:val="00E06647"/>
    <w:rsid w:val="00E232F8"/>
    <w:rsid w:val="00E24DAF"/>
    <w:rsid w:val="00E338A0"/>
    <w:rsid w:val="00E35F1A"/>
    <w:rsid w:val="00E37D79"/>
    <w:rsid w:val="00E43FB1"/>
    <w:rsid w:val="00E4642D"/>
    <w:rsid w:val="00E76C60"/>
    <w:rsid w:val="00E76F2A"/>
    <w:rsid w:val="00E84842"/>
    <w:rsid w:val="00E87460"/>
    <w:rsid w:val="00E97B8E"/>
    <w:rsid w:val="00EA3A5B"/>
    <w:rsid w:val="00EB1400"/>
    <w:rsid w:val="00EB1FD8"/>
    <w:rsid w:val="00EB331D"/>
    <w:rsid w:val="00EB6BA8"/>
    <w:rsid w:val="00EB7A3E"/>
    <w:rsid w:val="00EC2ADF"/>
    <w:rsid w:val="00EC5292"/>
    <w:rsid w:val="00ED0B29"/>
    <w:rsid w:val="00EF4C87"/>
    <w:rsid w:val="00EF5974"/>
    <w:rsid w:val="00EF6BFD"/>
    <w:rsid w:val="00F06BEE"/>
    <w:rsid w:val="00F135C4"/>
    <w:rsid w:val="00F13D93"/>
    <w:rsid w:val="00F14A31"/>
    <w:rsid w:val="00F17676"/>
    <w:rsid w:val="00F208A1"/>
    <w:rsid w:val="00F21979"/>
    <w:rsid w:val="00F22CBF"/>
    <w:rsid w:val="00F25DFE"/>
    <w:rsid w:val="00F312E6"/>
    <w:rsid w:val="00F35817"/>
    <w:rsid w:val="00F3640E"/>
    <w:rsid w:val="00F4248C"/>
    <w:rsid w:val="00F46717"/>
    <w:rsid w:val="00F5237E"/>
    <w:rsid w:val="00F60B5F"/>
    <w:rsid w:val="00F6397C"/>
    <w:rsid w:val="00F63E44"/>
    <w:rsid w:val="00F640AC"/>
    <w:rsid w:val="00F6691A"/>
    <w:rsid w:val="00F67E7B"/>
    <w:rsid w:val="00F773CE"/>
    <w:rsid w:val="00F80542"/>
    <w:rsid w:val="00F87345"/>
    <w:rsid w:val="00F95210"/>
    <w:rsid w:val="00F96FDC"/>
    <w:rsid w:val="00FA5495"/>
    <w:rsid w:val="00FA5CC9"/>
    <w:rsid w:val="00FB5BB7"/>
    <w:rsid w:val="00FB5CEA"/>
    <w:rsid w:val="00FB6608"/>
    <w:rsid w:val="00FC2781"/>
    <w:rsid w:val="00FC62B6"/>
    <w:rsid w:val="00FC7DAC"/>
    <w:rsid w:val="00FD2818"/>
    <w:rsid w:val="00FD2A16"/>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B534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link w:val="Heading2NotesContdChar"/>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link w:val="Heading3NumberingChar"/>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sz w:val="18"/>
      <w:szCs w:val="18"/>
    </w:rPr>
  </w:style>
  <w:style w:type="paragraph" w:styleId="IndexHeading">
    <w:name w:val="index heading"/>
    <w:basedOn w:val="Normal"/>
    <w:next w:val="Index1"/>
    <w:uiPriority w:val="99"/>
    <w:semiHidden/>
    <w:rsid w:val="001C1EAD"/>
    <w:pPr>
      <w:spacing w:before="240"/>
      <w:jc w:val="center"/>
    </w:pPr>
    <w:rPr>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uiPriority w:val="99"/>
    <w:unhideWhenUsed/>
    <w:locked/>
    <w:rsid w:val="00497D35"/>
    <w:rPr>
      <w:color w:val="0000FF"/>
      <w:u w:val="single"/>
    </w:rPr>
  </w:style>
  <w:style w:type="character" w:customStyle="1" w:styleId="Heading1Char">
    <w:name w:val="Heading 1 Char"/>
    <w:link w:val="Heading1"/>
    <w:rsid w:val="00856AFF"/>
    <w:rPr>
      <w:rFonts w:ascii="Calibri" w:hAnsi="Calibri"/>
      <w:b/>
      <w:caps/>
      <w:sz w:val="26"/>
      <w:szCs w:val="22"/>
      <w:lang w:eastAsia="en-US"/>
    </w:rPr>
  </w:style>
  <w:style w:type="character" w:customStyle="1" w:styleId="NotesChar">
    <w:name w:val="Notes Char"/>
    <w:link w:val="Notes"/>
    <w:locked/>
    <w:rsid w:val="00856AFF"/>
    <w:rPr>
      <w:rFonts w:ascii="Calibri" w:hAnsi="Calibri"/>
      <w:i/>
      <w:sz w:val="15"/>
      <w:lang w:eastAsia="en-US"/>
    </w:rPr>
  </w:style>
  <w:style w:type="character" w:customStyle="1" w:styleId="TableheadingChar">
    <w:name w:val="Table heading Char"/>
    <w:link w:val="Tableheading"/>
    <w:locked/>
    <w:rsid w:val="00856AFF"/>
    <w:rPr>
      <w:rFonts w:ascii="Calibri" w:hAnsi="Calibri"/>
      <w:b/>
      <w:sz w:val="22"/>
      <w:lang w:eastAsia="en-US"/>
    </w:rPr>
  </w:style>
  <w:style w:type="character" w:customStyle="1" w:styleId="Heading2Char">
    <w:name w:val="Heading 2 Char"/>
    <w:link w:val="Heading2"/>
    <w:rsid w:val="00856AFF"/>
    <w:rPr>
      <w:rFonts w:ascii="Calibri" w:hAnsi="Calibri"/>
      <w:b/>
      <w:kern w:val="28"/>
      <w:sz w:val="26"/>
      <w:szCs w:val="22"/>
      <w:lang w:eastAsia="en-US"/>
    </w:rPr>
  </w:style>
  <w:style w:type="paragraph" w:customStyle="1" w:styleId="Default">
    <w:name w:val="Default"/>
    <w:rsid w:val="00856AFF"/>
    <w:pPr>
      <w:autoSpaceDE w:val="0"/>
      <w:autoSpaceDN w:val="0"/>
      <w:adjustRightInd w:val="0"/>
    </w:pPr>
    <w:rPr>
      <w:rFonts w:ascii="Garamond" w:hAnsi="Garamond" w:cs="Garamond"/>
      <w:color w:val="000000"/>
      <w:sz w:val="24"/>
      <w:szCs w:val="24"/>
    </w:rPr>
  </w:style>
  <w:style w:type="character" w:customStyle="1" w:styleId="BulletTextChar">
    <w:name w:val="Bullet Text Char"/>
    <w:link w:val="BulletText"/>
    <w:locked/>
    <w:rsid w:val="00856AFF"/>
    <w:rPr>
      <w:rFonts w:ascii="Garamond" w:hAnsi="Garamond"/>
      <w:sz w:val="22"/>
      <w:lang w:eastAsia="en-US"/>
    </w:rPr>
  </w:style>
  <w:style w:type="character" w:customStyle="1" w:styleId="Heading5Char">
    <w:name w:val="Heading 5 Char"/>
    <w:link w:val="Heading5"/>
    <w:rsid w:val="00856AFF"/>
    <w:rPr>
      <w:rFonts w:ascii="Calibri" w:hAnsi="Calibri"/>
      <w:b/>
      <w:sz w:val="22"/>
      <w:lang w:eastAsia="en-US"/>
    </w:rPr>
  </w:style>
  <w:style w:type="table" w:styleId="TableColumns4">
    <w:name w:val="Table Columns 4"/>
    <w:basedOn w:val="TableNormal"/>
    <w:locked/>
    <w:rsid w:val="00856AFF"/>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ighlightBoxDash">
    <w:name w:val="Highlight Box Dash"/>
    <w:basedOn w:val="HighlightBoxBullet"/>
    <w:qFormat/>
    <w:rsid w:val="00856AFF"/>
    <w:pPr>
      <w:numPr>
        <w:numId w:val="0"/>
      </w:numPr>
      <w:tabs>
        <w:tab w:val="left" w:pos="360"/>
      </w:tabs>
      <w:ind w:left="720" w:hanging="720"/>
    </w:pPr>
  </w:style>
  <w:style w:type="character" w:customStyle="1" w:styleId="Heading3Char">
    <w:name w:val="Heading 3 Char"/>
    <w:link w:val="Heading3"/>
    <w:rsid w:val="00856AFF"/>
    <w:rPr>
      <w:rFonts w:ascii="Calibri" w:hAnsi="Calibri"/>
      <w:b/>
      <w:i/>
      <w:kern w:val="28"/>
      <w:sz w:val="24"/>
      <w:szCs w:val="22"/>
      <w:lang w:eastAsia="en-US"/>
    </w:rPr>
  </w:style>
  <w:style w:type="character" w:customStyle="1" w:styleId="Heading4Char">
    <w:name w:val="Heading 4 Char"/>
    <w:link w:val="Heading4"/>
    <w:rsid w:val="00856AFF"/>
    <w:rPr>
      <w:rFonts w:ascii="Calibri" w:hAnsi="Calibri"/>
      <w:i/>
      <w:sz w:val="24"/>
      <w:szCs w:val="22"/>
      <w:lang w:eastAsia="en-US"/>
    </w:rPr>
  </w:style>
  <w:style w:type="character" w:customStyle="1" w:styleId="ChartheadingChar">
    <w:name w:val="Chart heading Char"/>
    <w:link w:val="Chartheading"/>
    <w:locked/>
    <w:rsid w:val="00856AFF"/>
    <w:rPr>
      <w:rFonts w:ascii="Calibri" w:hAnsi="Calibri"/>
      <w:b/>
      <w:sz w:val="22"/>
      <w:lang w:eastAsia="en-US"/>
    </w:rPr>
  </w:style>
  <w:style w:type="paragraph" w:styleId="ListParagraph">
    <w:name w:val="List Paragraph"/>
    <w:basedOn w:val="Normal"/>
    <w:uiPriority w:val="34"/>
    <w:qFormat/>
    <w:rsid w:val="00856AFF"/>
    <w:pPr>
      <w:ind w:left="720"/>
      <w:contextualSpacing/>
    </w:pPr>
  </w:style>
  <w:style w:type="paragraph" w:styleId="BalloonText">
    <w:name w:val="Balloon Text"/>
    <w:basedOn w:val="Normal"/>
    <w:link w:val="BalloonTextChar"/>
    <w:locked/>
    <w:rsid w:val="00856AFF"/>
    <w:pPr>
      <w:spacing w:after="0"/>
    </w:pPr>
    <w:rPr>
      <w:rFonts w:ascii="Tahoma" w:hAnsi="Tahoma" w:cs="Tahoma"/>
      <w:sz w:val="16"/>
      <w:szCs w:val="16"/>
    </w:rPr>
  </w:style>
  <w:style w:type="character" w:customStyle="1" w:styleId="BalloonTextChar">
    <w:name w:val="Balloon Text Char"/>
    <w:basedOn w:val="DefaultParagraphFont"/>
    <w:link w:val="BalloonText"/>
    <w:rsid w:val="00856AFF"/>
    <w:rPr>
      <w:rFonts w:ascii="Tahoma" w:hAnsi="Tahoma" w:cs="Tahoma"/>
      <w:sz w:val="16"/>
      <w:szCs w:val="16"/>
      <w:lang w:eastAsia="en-US"/>
    </w:rPr>
  </w:style>
  <w:style w:type="character" w:customStyle="1" w:styleId="FooterChar">
    <w:name w:val="Footer Char"/>
    <w:basedOn w:val="DefaultParagraphFont"/>
    <w:link w:val="Footer"/>
    <w:rsid w:val="00856AFF"/>
    <w:rPr>
      <w:rFonts w:ascii="Calibri" w:hAnsi="Calibri"/>
      <w:szCs w:val="18"/>
      <w:lang w:eastAsia="en-US"/>
    </w:rPr>
  </w:style>
  <w:style w:type="character" w:customStyle="1" w:styleId="HeaderChar">
    <w:name w:val="Header Char"/>
    <w:basedOn w:val="DefaultParagraphFont"/>
    <w:link w:val="Header"/>
    <w:rsid w:val="00856AFF"/>
    <w:rPr>
      <w:rFonts w:ascii="Calibri" w:hAnsi="Calibri"/>
      <w:szCs w:val="18"/>
      <w:lang w:eastAsia="en-US"/>
    </w:rPr>
  </w:style>
  <w:style w:type="paragraph" w:styleId="CommentText">
    <w:name w:val="annotation text"/>
    <w:basedOn w:val="Normal"/>
    <w:link w:val="CommentTextChar"/>
    <w:uiPriority w:val="99"/>
    <w:unhideWhenUsed/>
    <w:locked/>
    <w:rsid w:val="00856AFF"/>
    <w:rPr>
      <w:sz w:val="20"/>
    </w:rPr>
  </w:style>
  <w:style w:type="character" w:customStyle="1" w:styleId="CommentTextChar">
    <w:name w:val="Comment Text Char"/>
    <w:basedOn w:val="DefaultParagraphFont"/>
    <w:link w:val="CommentText"/>
    <w:uiPriority w:val="99"/>
    <w:rsid w:val="00856AFF"/>
    <w:rPr>
      <w:rFonts w:ascii="Garamond" w:hAnsi="Garamond"/>
      <w:lang w:eastAsia="en-US"/>
    </w:rPr>
  </w:style>
  <w:style w:type="paragraph" w:styleId="CommentSubject">
    <w:name w:val="annotation subject"/>
    <w:basedOn w:val="Normal"/>
    <w:link w:val="CommentSubjectChar"/>
    <w:locked/>
    <w:rsid w:val="00856AFF"/>
    <w:rPr>
      <w:b/>
      <w:bCs/>
      <w:sz w:val="20"/>
    </w:rPr>
  </w:style>
  <w:style w:type="character" w:customStyle="1" w:styleId="CommentSubjectChar">
    <w:name w:val="Comment Subject Char"/>
    <w:basedOn w:val="CommentTextChar"/>
    <w:link w:val="CommentSubject"/>
    <w:rsid w:val="00856AFF"/>
    <w:rPr>
      <w:rFonts w:ascii="Garamond" w:hAnsi="Garamond"/>
      <w:b/>
      <w:bCs/>
      <w:lang w:eastAsia="en-US"/>
    </w:rPr>
  </w:style>
  <w:style w:type="paragraph" w:styleId="Index4">
    <w:name w:val="index 4"/>
    <w:basedOn w:val="Normal"/>
    <w:next w:val="Normal"/>
    <w:autoRedefine/>
    <w:rsid w:val="00856AFF"/>
    <w:pPr>
      <w:spacing w:after="0"/>
      <w:ind w:left="880" w:hanging="220"/>
    </w:pPr>
  </w:style>
  <w:style w:type="character" w:styleId="FootnoteReference">
    <w:name w:val="footnote reference"/>
    <w:basedOn w:val="DefaultParagraphFont"/>
    <w:locked/>
    <w:rsid w:val="00856AFF"/>
    <w:rPr>
      <w:vertAlign w:val="superscript"/>
    </w:rPr>
  </w:style>
  <w:style w:type="character" w:styleId="CommentReference">
    <w:name w:val="annotation reference"/>
    <w:basedOn w:val="DefaultParagraphFont"/>
    <w:uiPriority w:val="99"/>
    <w:locked/>
    <w:rsid w:val="00856AFF"/>
    <w:rPr>
      <w:sz w:val="16"/>
      <w:szCs w:val="16"/>
    </w:rPr>
  </w:style>
  <w:style w:type="paragraph" w:styleId="FootnoteText">
    <w:name w:val="footnote text"/>
    <w:basedOn w:val="Normal"/>
    <w:link w:val="FootnoteTextChar"/>
    <w:locked/>
    <w:rsid w:val="00856AFF"/>
    <w:rPr>
      <w:sz w:val="20"/>
    </w:rPr>
  </w:style>
  <w:style w:type="character" w:customStyle="1" w:styleId="FootnoteTextChar">
    <w:name w:val="Footnote Text Char"/>
    <w:basedOn w:val="DefaultParagraphFont"/>
    <w:link w:val="FootnoteText"/>
    <w:rsid w:val="00856AFF"/>
    <w:rPr>
      <w:rFonts w:ascii="Garamond" w:hAnsi="Garamond"/>
      <w:lang w:eastAsia="en-US"/>
    </w:rPr>
  </w:style>
  <w:style w:type="paragraph" w:styleId="Index3">
    <w:name w:val="index 3"/>
    <w:basedOn w:val="Normal"/>
    <w:next w:val="Normal"/>
    <w:autoRedefine/>
    <w:rsid w:val="00856AFF"/>
    <w:pPr>
      <w:spacing w:after="0"/>
      <w:ind w:left="660" w:hanging="220"/>
    </w:pPr>
    <w:rPr>
      <w:rFonts w:asciiTheme="minorHAnsi" w:hAnsiTheme="minorHAnsi" w:cstheme="minorHAnsi"/>
      <w:sz w:val="18"/>
      <w:szCs w:val="18"/>
    </w:rPr>
  </w:style>
  <w:style w:type="paragraph" w:styleId="Index5">
    <w:name w:val="index 5"/>
    <w:basedOn w:val="Normal"/>
    <w:next w:val="Normal"/>
    <w:autoRedefine/>
    <w:rsid w:val="00856AFF"/>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856AFF"/>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856AFF"/>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856AFF"/>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856AFF"/>
    <w:pPr>
      <w:spacing w:after="0"/>
      <w:ind w:left="1980" w:hanging="220"/>
    </w:pPr>
    <w:rPr>
      <w:rFonts w:asciiTheme="minorHAnsi" w:hAnsiTheme="minorHAnsi" w:cstheme="minorHAnsi"/>
      <w:sz w:val="18"/>
      <w:szCs w:val="18"/>
    </w:rPr>
  </w:style>
  <w:style w:type="paragraph" w:customStyle="1" w:styleId="CharCharCharChar">
    <w:name w:val="Char Char Char Char"/>
    <w:basedOn w:val="Normal"/>
    <w:rsid w:val="00856AFF"/>
    <w:pPr>
      <w:spacing w:after="160" w:line="240" w:lineRule="exact"/>
    </w:pPr>
    <w:rPr>
      <w:rFonts w:ascii="Tahoma" w:hAnsi="Tahoma" w:cs="Tahoma"/>
      <w:sz w:val="20"/>
      <w:lang w:val="en-US"/>
    </w:rPr>
  </w:style>
  <w:style w:type="paragraph" w:customStyle="1" w:styleId="TableTextCentred0">
    <w:name w:val="Table Text Centred"/>
    <w:basedOn w:val="Tabletext"/>
    <w:rsid w:val="00856AFF"/>
    <w:pPr>
      <w:ind w:left="0" w:firstLine="0"/>
      <w:jc w:val="center"/>
    </w:pPr>
    <w:rPr>
      <w:sz w:val="22"/>
    </w:rPr>
  </w:style>
  <w:style w:type="paragraph" w:customStyle="1" w:styleId="TabletextheadingCentred0">
    <w:name w:val="Table text heading Centred"/>
    <w:basedOn w:val="Tabletextheading"/>
    <w:link w:val="TabletextheadingCentredChar"/>
    <w:rsid w:val="00856AFF"/>
    <w:pPr>
      <w:jc w:val="center"/>
    </w:pPr>
    <w:rPr>
      <w:sz w:val="22"/>
    </w:rPr>
  </w:style>
  <w:style w:type="character" w:customStyle="1" w:styleId="TabletextChar">
    <w:name w:val="Table text Char"/>
    <w:link w:val="Tabletext"/>
    <w:rsid w:val="00856AFF"/>
    <w:rPr>
      <w:rFonts w:ascii="Calibri" w:hAnsi="Calibri"/>
      <w:szCs w:val="18"/>
      <w:lang w:eastAsia="en-US"/>
    </w:rPr>
  </w:style>
  <w:style w:type="character" w:customStyle="1" w:styleId="TabletextheadingCentredChar">
    <w:name w:val="Table text heading Centred Char"/>
    <w:link w:val="TabletextheadingCentred0"/>
    <w:locked/>
    <w:rsid w:val="00856AFF"/>
    <w:rPr>
      <w:rFonts w:ascii="Calibri" w:hAnsi="Calibri"/>
      <w:i/>
      <w:sz w:val="22"/>
      <w:szCs w:val="18"/>
      <w:lang w:eastAsia="en-US"/>
    </w:rPr>
  </w:style>
  <w:style w:type="character" w:customStyle="1" w:styleId="Heading2NotesContdChar">
    <w:name w:val="Heading 2 Notes Cont'd Char"/>
    <w:link w:val="Heading2NotesContd"/>
    <w:locked/>
    <w:rsid w:val="00856AFF"/>
    <w:rPr>
      <w:rFonts w:ascii="Calibri" w:hAnsi="Calibri"/>
      <w:b/>
      <w:kern w:val="28"/>
      <w:sz w:val="26"/>
      <w:szCs w:val="22"/>
      <w:lang w:eastAsia="en-US"/>
    </w:rPr>
  </w:style>
  <w:style w:type="character" w:customStyle="1" w:styleId="Heading3NumberingChar">
    <w:name w:val="Heading 3 Numbering Char"/>
    <w:link w:val="Heading3Numbering"/>
    <w:locked/>
    <w:rsid w:val="00856AFF"/>
    <w:rPr>
      <w:rFonts w:ascii="Calibri" w:hAnsi="Calibri"/>
      <w:b/>
      <w:i/>
      <w:kern w:val="28"/>
      <w:sz w:val="24"/>
      <w:szCs w:val="22"/>
      <w:lang w:eastAsia="en-US"/>
    </w:rPr>
  </w:style>
  <w:style w:type="character" w:customStyle="1" w:styleId="OGNotesChar">
    <w:name w:val="OGNotes Char"/>
    <w:link w:val="OGNotes"/>
    <w:rsid w:val="00856AFF"/>
    <w:rPr>
      <w:rFonts w:ascii="Calibri" w:hAnsi="Calibri"/>
      <w:i/>
      <w:sz w:val="15"/>
    </w:rPr>
  </w:style>
  <w:style w:type="character" w:styleId="PlaceholderText">
    <w:name w:val="Placeholder Text"/>
    <w:basedOn w:val="DefaultParagraphFont"/>
    <w:uiPriority w:val="99"/>
    <w:semiHidden/>
    <w:rsid w:val="006C00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B534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link w:val="Heading2NotesContdChar"/>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link w:val="Heading3NumberingChar"/>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sz w:val="18"/>
      <w:szCs w:val="18"/>
    </w:rPr>
  </w:style>
  <w:style w:type="paragraph" w:styleId="IndexHeading">
    <w:name w:val="index heading"/>
    <w:basedOn w:val="Normal"/>
    <w:next w:val="Index1"/>
    <w:uiPriority w:val="99"/>
    <w:semiHidden/>
    <w:rsid w:val="001C1EAD"/>
    <w:pPr>
      <w:spacing w:before="240"/>
      <w:jc w:val="center"/>
    </w:pPr>
    <w:rPr>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uiPriority w:val="99"/>
    <w:unhideWhenUsed/>
    <w:locked/>
    <w:rsid w:val="00497D35"/>
    <w:rPr>
      <w:color w:val="0000FF"/>
      <w:u w:val="single"/>
    </w:rPr>
  </w:style>
  <w:style w:type="character" w:customStyle="1" w:styleId="Heading1Char">
    <w:name w:val="Heading 1 Char"/>
    <w:link w:val="Heading1"/>
    <w:rsid w:val="00856AFF"/>
    <w:rPr>
      <w:rFonts w:ascii="Calibri" w:hAnsi="Calibri"/>
      <w:b/>
      <w:caps/>
      <w:sz w:val="26"/>
      <w:szCs w:val="22"/>
      <w:lang w:eastAsia="en-US"/>
    </w:rPr>
  </w:style>
  <w:style w:type="character" w:customStyle="1" w:styleId="NotesChar">
    <w:name w:val="Notes Char"/>
    <w:link w:val="Notes"/>
    <w:locked/>
    <w:rsid w:val="00856AFF"/>
    <w:rPr>
      <w:rFonts w:ascii="Calibri" w:hAnsi="Calibri"/>
      <w:i/>
      <w:sz w:val="15"/>
      <w:lang w:eastAsia="en-US"/>
    </w:rPr>
  </w:style>
  <w:style w:type="character" w:customStyle="1" w:styleId="TableheadingChar">
    <w:name w:val="Table heading Char"/>
    <w:link w:val="Tableheading"/>
    <w:locked/>
    <w:rsid w:val="00856AFF"/>
    <w:rPr>
      <w:rFonts w:ascii="Calibri" w:hAnsi="Calibri"/>
      <w:b/>
      <w:sz w:val="22"/>
      <w:lang w:eastAsia="en-US"/>
    </w:rPr>
  </w:style>
  <w:style w:type="character" w:customStyle="1" w:styleId="Heading2Char">
    <w:name w:val="Heading 2 Char"/>
    <w:link w:val="Heading2"/>
    <w:rsid w:val="00856AFF"/>
    <w:rPr>
      <w:rFonts w:ascii="Calibri" w:hAnsi="Calibri"/>
      <w:b/>
      <w:kern w:val="28"/>
      <w:sz w:val="26"/>
      <w:szCs w:val="22"/>
      <w:lang w:eastAsia="en-US"/>
    </w:rPr>
  </w:style>
  <w:style w:type="paragraph" w:customStyle="1" w:styleId="Default">
    <w:name w:val="Default"/>
    <w:rsid w:val="00856AFF"/>
    <w:pPr>
      <w:autoSpaceDE w:val="0"/>
      <w:autoSpaceDN w:val="0"/>
      <w:adjustRightInd w:val="0"/>
    </w:pPr>
    <w:rPr>
      <w:rFonts w:ascii="Garamond" w:hAnsi="Garamond" w:cs="Garamond"/>
      <w:color w:val="000000"/>
      <w:sz w:val="24"/>
      <w:szCs w:val="24"/>
    </w:rPr>
  </w:style>
  <w:style w:type="character" w:customStyle="1" w:styleId="BulletTextChar">
    <w:name w:val="Bullet Text Char"/>
    <w:link w:val="BulletText"/>
    <w:locked/>
    <w:rsid w:val="00856AFF"/>
    <w:rPr>
      <w:rFonts w:ascii="Garamond" w:hAnsi="Garamond"/>
      <w:sz w:val="22"/>
      <w:lang w:eastAsia="en-US"/>
    </w:rPr>
  </w:style>
  <w:style w:type="character" w:customStyle="1" w:styleId="Heading5Char">
    <w:name w:val="Heading 5 Char"/>
    <w:link w:val="Heading5"/>
    <w:rsid w:val="00856AFF"/>
    <w:rPr>
      <w:rFonts w:ascii="Calibri" w:hAnsi="Calibri"/>
      <w:b/>
      <w:sz w:val="22"/>
      <w:lang w:eastAsia="en-US"/>
    </w:rPr>
  </w:style>
  <w:style w:type="table" w:styleId="TableColumns4">
    <w:name w:val="Table Columns 4"/>
    <w:basedOn w:val="TableNormal"/>
    <w:locked/>
    <w:rsid w:val="00856AFF"/>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ighlightBoxDash">
    <w:name w:val="Highlight Box Dash"/>
    <w:basedOn w:val="HighlightBoxBullet"/>
    <w:qFormat/>
    <w:rsid w:val="00856AFF"/>
    <w:pPr>
      <w:numPr>
        <w:numId w:val="0"/>
      </w:numPr>
      <w:tabs>
        <w:tab w:val="left" w:pos="360"/>
      </w:tabs>
      <w:ind w:left="720" w:hanging="720"/>
    </w:pPr>
  </w:style>
  <w:style w:type="character" w:customStyle="1" w:styleId="Heading3Char">
    <w:name w:val="Heading 3 Char"/>
    <w:link w:val="Heading3"/>
    <w:rsid w:val="00856AFF"/>
    <w:rPr>
      <w:rFonts w:ascii="Calibri" w:hAnsi="Calibri"/>
      <w:b/>
      <w:i/>
      <w:kern w:val="28"/>
      <w:sz w:val="24"/>
      <w:szCs w:val="22"/>
      <w:lang w:eastAsia="en-US"/>
    </w:rPr>
  </w:style>
  <w:style w:type="character" w:customStyle="1" w:styleId="Heading4Char">
    <w:name w:val="Heading 4 Char"/>
    <w:link w:val="Heading4"/>
    <w:rsid w:val="00856AFF"/>
    <w:rPr>
      <w:rFonts w:ascii="Calibri" w:hAnsi="Calibri"/>
      <w:i/>
      <w:sz w:val="24"/>
      <w:szCs w:val="22"/>
      <w:lang w:eastAsia="en-US"/>
    </w:rPr>
  </w:style>
  <w:style w:type="character" w:customStyle="1" w:styleId="ChartheadingChar">
    <w:name w:val="Chart heading Char"/>
    <w:link w:val="Chartheading"/>
    <w:locked/>
    <w:rsid w:val="00856AFF"/>
    <w:rPr>
      <w:rFonts w:ascii="Calibri" w:hAnsi="Calibri"/>
      <w:b/>
      <w:sz w:val="22"/>
      <w:lang w:eastAsia="en-US"/>
    </w:rPr>
  </w:style>
  <w:style w:type="paragraph" w:styleId="ListParagraph">
    <w:name w:val="List Paragraph"/>
    <w:basedOn w:val="Normal"/>
    <w:uiPriority w:val="34"/>
    <w:qFormat/>
    <w:rsid w:val="00856AFF"/>
    <w:pPr>
      <w:ind w:left="720"/>
      <w:contextualSpacing/>
    </w:pPr>
  </w:style>
  <w:style w:type="paragraph" w:styleId="BalloonText">
    <w:name w:val="Balloon Text"/>
    <w:basedOn w:val="Normal"/>
    <w:link w:val="BalloonTextChar"/>
    <w:locked/>
    <w:rsid w:val="00856AFF"/>
    <w:pPr>
      <w:spacing w:after="0"/>
    </w:pPr>
    <w:rPr>
      <w:rFonts w:ascii="Tahoma" w:hAnsi="Tahoma" w:cs="Tahoma"/>
      <w:sz w:val="16"/>
      <w:szCs w:val="16"/>
    </w:rPr>
  </w:style>
  <w:style w:type="character" w:customStyle="1" w:styleId="BalloonTextChar">
    <w:name w:val="Balloon Text Char"/>
    <w:basedOn w:val="DefaultParagraphFont"/>
    <w:link w:val="BalloonText"/>
    <w:rsid w:val="00856AFF"/>
    <w:rPr>
      <w:rFonts w:ascii="Tahoma" w:hAnsi="Tahoma" w:cs="Tahoma"/>
      <w:sz w:val="16"/>
      <w:szCs w:val="16"/>
      <w:lang w:eastAsia="en-US"/>
    </w:rPr>
  </w:style>
  <w:style w:type="character" w:customStyle="1" w:styleId="FooterChar">
    <w:name w:val="Footer Char"/>
    <w:basedOn w:val="DefaultParagraphFont"/>
    <w:link w:val="Footer"/>
    <w:rsid w:val="00856AFF"/>
    <w:rPr>
      <w:rFonts w:ascii="Calibri" w:hAnsi="Calibri"/>
      <w:szCs w:val="18"/>
      <w:lang w:eastAsia="en-US"/>
    </w:rPr>
  </w:style>
  <w:style w:type="character" w:customStyle="1" w:styleId="HeaderChar">
    <w:name w:val="Header Char"/>
    <w:basedOn w:val="DefaultParagraphFont"/>
    <w:link w:val="Header"/>
    <w:rsid w:val="00856AFF"/>
    <w:rPr>
      <w:rFonts w:ascii="Calibri" w:hAnsi="Calibri"/>
      <w:szCs w:val="18"/>
      <w:lang w:eastAsia="en-US"/>
    </w:rPr>
  </w:style>
  <w:style w:type="paragraph" w:styleId="CommentText">
    <w:name w:val="annotation text"/>
    <w:basedOn w:val="Normal"/>
    <w:link w:val="CommentTextChar"/>
    <w:uiPriority w:val="99"/>
    <w:unhideWhenUsed/>
    <w:locked/>
    <w:rsid w:val="00856AFF"/>
    <w:rPr>
      <w:sz w:val="20"/>
    </w:rPr>
  </w:style>
  <w:style w:type="character" w:customStyle="1" w:styleId="CommentTextChar">
    <w:name w:val="Comment Text Char"/>
    <w:basedOn w:val="DefaultParagraphFont"/>
    <w:link w:val="CommentText"/>
    <w:uiPriority w:val="99"/>
    <w:rsid w:val="00856AFF"/>
    <w:rPr>
      <w:rFonts w:ascii="Garamond" w:hAnsi="Garamond"/>
      <w:lang w:eastAsia="en-US"/>
    </w:rPr>
  </w:style>
  <w:style w:type="paragraph" w:styleId="CommentSubject">
    <w:name w:val="annotation subject"/>
    <w:basedOn w:val="Normal"/>
    <w:link w:val="CommentSubjectChar"/>
    <w:locked/>
    <w:rsid w:val="00856AFF"/>
    <w:rPr>
      <w:b/>
      <w:bCs/>
      <w:sz w:val="20"/>
    </w:rPr>
  </w:style>
  <w:style w:type="character" w:customStyle="1" w:styleId="CommentSubjectChar">
    <w:name w:val="Comment Subject Char"/>
    <w:basedOn w:val="CommentTextChar"/>
    <w:link w:val="CommentSubject"/>
    <w:rsid w:val="00856AFF"/>
    <w:rPr>
      <w:rFonts w:ascii="Garamond" w:hAnsi="Garamond"/>
      <w:b/>
      <w:bCs/>
      <w:lang w:eastAsia="en-US"/>
    </w:rPr>
  </w:style>
  <w:style w:type="paragraph" w:styleId="Index4">
    <w:name w:val="index 4"/>
    <w:basedOn w:val="Normal"/>
    <w:next w:val="Normal"/>
    <w:autoRedefine/>
    <w:rsid w:val="00856AFF"/>
    <w:pPr>
      <w:spacing w:after="0"/>
      <w:ind w:left="880" w:hanging="220"/>
    </w:pPr>
  </w:style>
  <w:style w:type="character" w:styleId="FootnoteReference">
    <w:name w:val="footnote reference"/>
    <w:basedOn w:val="DefaultParagraphFont"/>
    <w:locked/>
    <w:rsid w:val="00856AFF"/>
    <w:rPr>
      <w:vertAlign w:val="superscript"/>
    </w:rPr>
  </w:style>
  <w:style w:type="character" w:styleId="CommentReference">
    <w:name w:val="annotation reference"/>
    <w:basedOn w:val="DefaultParagraphFont"/>
    <w:uiPriority w:val="99"/>
    <w:locked/>
    <w:rsid w:val="00856AFF"/>
    <w:rPr>
      <w:sz w:val="16"/>
      <w:szCs w:val="16"/>
    </w:rPr>
  </w:style>
  <w:style w:type="paragraph" w:styleId="FootnoteText">
    <w:name w:val="footnote text"/>
    <w:basedOn w:val="Normal"/>
    <w:link w:val="FootnoteTextChar"/>
    <w:locked/>
    <w:rsid w:val="00856AFF"/>
    <w:rPr>
      <w:sz w:val="20"/>
    </w:rPr>
  </w:style>
  <w:style w:type="character" w:customStyle="1" w:styleId="FootnoteTextChar">
    <w:name w:val="Footnote Text Char"/>
    <w:basedOn w:val="DefaultParagraphFont"/>
    <w:link w:val="FootnoteText"/>
    <w:rsid w:val="00856AFF"/>
    <w:rPr>
      <w:rFonts w:ascii="Garamond" w:hAnsi="Garamond"/>
      <w:lang w:eastAsia="en-US"/>
    </w:rPr>
  </w:style>
  <w:style w:type="paragraph" w:styleId="Index3">
    <w:name w:val="index 3"/>
    <w:basedOn w:val="Normal"/>
    <w:next w:val="Normal"/>
    <w:autoRedefine/>
    <w:rsid w:val="00856AFF"/>
    <w:pPr>
      <w:spacing w:after="0"/>
      <w:ind w:left="660" w:hanging="220"/>
    </w:pPr>
    <w:rPr>
      <w:rFonts w:asciiTheme="minorHAnsi" w:hAnsiTheme="minorHAnsi" w:cstheme="minorHAnsi"/>
      <w:sz w:val="18"/>
      <w:szCs w:val="18"/>
    </w:rPr>
  </w:style>
  <w:style w:type="paragraph" w:styleId="Index5">
    <w:name w:val="index 5"/>
    <w:basedOn w:val="Normal"/>
    <w:next w:val="Normal"/>
    <w:autoRedefine/>
    <w:rsid w:val="00856AFF"/>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856AFF"/>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856AFF"/>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856AFF"/>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856AFF"/>
    <w:pPr>
      <w:spacing w:after="0"/>
      <w:ind w:left="1980" w:hanging="220"/>
    </w:pPr>
    <w:rPr>
      <w:rFonts w:asciiTheme="minorHAnsi" w:hAnsiTheme="minorHAnsi" w:cstheme="minorHAnsi"/>
      <w:sz w:val="18"/>
      <w:szCs w:val="18"/>
    </w:rPr>
  </w:style>
  <w:style w:type="paragraph" w:customStyle="1" w:styleId="CharCharCharChar">
    <w:name w:val="Char Char Char Char"/>
    <w:basedOn w:val="Normal"/>
    <w:rsid w:val="00856AFF"/>
    <w:pPr>
      <w:spacing w:after="160" w:line="240" w:lineRule="exact"/>
    </w:pPr>
    <w:rPr>
      <w:rFonts w:ascii="Tahoma" w:hAnsi="Tahoma" w:cs="Tahoma"/>
      <w:sz w:val="20"/>
      <w:lang w:val="en-US"/>
    </w:rPr>
  </w:style>
  <w:style w:type="paragraph" w:customStyle="1" w:styleId="TableTextCentred0">
    <w:name w:val="Table Text Centred"/>
    <w:basedOn w:val="Tabletext"/>
    <w:rsid w:val="00856AFF"/>
    <w:pPr>
      <w:ind w:left="0" w:firstLine="0"/>
      <w:jc w:val="center"/>
    </w:pPr>
    <w:rPr>
      <w:sz w:val="22"/>
    </w:rPr>
  </w:style>
  <w:style w:type="paragraph" w:customStyle="1" w:styleId="TabletextheadingCentred0">
    <w:name w:val="Table text heading Centred"/>
    <w:basedOn w:val="Tabletextheading"/>
    <w:link w:val="TabletextheadingCentredChar"/>
    <w:rsid w:val="00856AFF"/>
    <w:pPr>
      <w:jc w:val="center"/>
    </w:pPr>
    <w:rPr>
      <w:sz w:val="22"/>
    </w:rPr>
  </w:style>
  <w:style w:type="character" w:customStyle="1" w:styleId="TabletextChar">
    <w:name w:val="Table text Char"/>
    <w:link w:val="Tabletext"/>
    <w:rsid w:val="00856AFF"/>
    <w:rPr>
      <w:rFonts w:ascii="Calibri" w:hAnsi="Calibri"/>
      <w:szCs w:val="18"/>
      <w:lang w:eastAsia="en-US"/>
    </w:rPr>
  </w:style>
  <w:style w:type="character" w:customStyle="1" w:styleId="TabletextheadingCentredChar">
    <w:name w:val="Table text heading Centred Char"/>
    <w:link w:val="TabletextheadingCentred0"/>
    <w:locked/>
    <w:rsid w:val="00856AFF"/>
    <w:rPr>
      <w:rFonts w:ascii="Calibri" w:hAnsi="Calibri"/>
      <w:i/>
      <w:sz w:val="22"/>
      <w:szCs w:val="18"/>
      <w:lang w:eastAsia="en-US"/>
    </w:rPr>
  </w:style>
  <w:style w:type="character" w:customStyle="1" w:styleId="Heading2NotesContdChar">
    <w:name w:val="Heading 2 Notes Cont'd Char"/>
    <w:link w:val="Heading2NotesContd"/>
    <w:locked/>
    <w:rsid w:val="00856AFF"/>
    <w:rPr>
      <w:rFonts w:ascii="Calibri" w:hAnsi="Calibri"/>
      <w:b/>
      <w:kern w:val="28"/>
      <w:sz w:val="26"/>
      <w:szCs w:val="22"/>
      <w:lang w:eastAsia="en-US"/>
    </w:rPr>
  </w:style>
  <w:style w:type="character" w:customStyle="1" w:styleId="Heading3NumberingChar">
    <w:name w:val="Heading 3 Numbering Char"/>
    <w:link w:val="Heading3Numbering"/>
    <w:locked/>
    <w:rsid w:val="00856AFF"/>
    <w:rPr>
      <w:rFonts w:ascii="Calibri" w:hAnsi="Calibri"/>
      <w:b/>
      <w:i/>
      <w:kern w:val="28"/>
      <w:sz w:val="24"/>
      <w:szCs w:val="22"/>
      <w:lang w:eastAsia="en-US"/>
    </w:rPr>
  </w:style>
  <w:style w:type="character" w:customStyle="1" w:styleId="OGNotesChar">
    <w:name w:val="OGNotes Char"/>
    <w:link w:val="OGNotes"/>
    <w:rsid w:val="00856AFF"/>
    <w:rPr>
      <w:rFonts w:ascii="Calibri" w:hAnsi="Calibri"/>
      <w:i/>
      <w:sz w:val="15"/>
    </w:rPr>
  </w:style>
  <w:style w:type="character" w:styleId="PlaceholderText">
    <w:name w:val="Placeholder Text"/>
    <w:basedOn w:val="DefaultParagraphFont"/>
    <w:uiPriority w:val="99"/>
    <w:semiHidden/>
    <w:rsid w:val="006C00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emf"/><Relationship Id="rId26" Type="http://schemas.openxmlformats.org/officeDocument/2006/relationships/image" Target="media/image4.emf"/><Relationship Id="rId39" Type="http://schemas.openxmlformats.org/officeDocument/2006/relationships/footer" Target="footer24.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header" Target="header4.xml"/><Relationship Id="rId50" Type="http://schemas.openxmlformats.org/officeDocument/2006/relationships/footer" Target="footer3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1.xml"/><Relationship Id="rId29" Type="http://schemas.openxmlformats.org/officeDocument/2006/relationships/footer" Target="footer14.xml"/><Relationship Id="rId41" Type="http://schemas.openxmlformats.org/officeDocument/2006/relationships/footer" Target="footer2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footer" Target="footer32.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footer" Target="footer16.xml"/><Relationship Id="rId44" Type="http://schemas.openxmlformats.org/officeDocument/2006/relationships/footer" Target="footer29.xml"/><Relationship Id="rId52"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Budget_B5.dotm</Template>
  <TotalTime>0</TotalTime>
  <Pages>3</Pages>
  <Words>46310</Words>
  <Characters>263972</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309663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Deidre Steain</dc:creator>
  <cp:keywords/>
  <dc:description/>
  <cp:lastModifiedBy>Deidre Steain</cp:lastModifiedBy>
  <cp:revision>2</cp:revision>
  <cp:lastPrinted>2013-12-10T05:38:00Z</cp:lastPrinted>
  <dcterms:created xsi:type="dcterms:W3CDTF">2013-12-10T22:17:00Z</dcterms:created>
  <dcterms:modified xsi:type="dcterms:W3CDTF">2013-12-10T22:17:00Z</dcterms:modified>
</cp:coreProperties>
</file>